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r>
        <w:rPr>
          <w:rFonts w:hint="eastAsia" w:ascii="黑体" w:hAnsi="黑体" w:eastAsia="黑体" w:cs="黑体"/>
          <w:sz w:val="44"/>
          <w:szCs w:val="44"/>
        </w:rPr>
        <w:t>温州市202</w:t>
      </w:r>
      <w:r>
        <w:rPr>
          <w:rFonts w:hint="eastAsia" w:ascii="黑体" w:hAnsi="黑体" w:eastAsia="黑体" w:cs="黑体"/>
          <w:sz w:val="44"/>
          <w:szCs w:val="44"/>
          <w:lang w:val="en-US" w:eastAsia="zh-CN"/>
        </w:rPr>
        <w:t>3</w:t>
      </w:r>
      <w:r>
        <w:rPr>
          <w:rFonts w:hint="eastAsia" w:ascii="黑体" w:hAnsi="黑体" w:eastAsia="黑体" w:cs="黑体"/>
          <w:sz w:val="44"/>
          <w:szCs w:val="44"/>
        </w:rPr>
        <w:t>年度城乡居民基本医疗保险待遇简明表</w:t>
      </w:r>
    </w:p>
    <w:tbl>
      <w:tblPr>
        <w:tblStyle w:val="3"/>
        <w:tblW w:w="16233" w:type="dxa"/>
        <w:jc w:val="center"/>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702"/>
        <w:gridCol w:w="2655"/>
        <w:gridCol w:w="1913"/>
        <w:gridCol w:w="2611"/>
        <w:gridCol w:w="2984"/>
        <w:gridCol w:w="224"/>
        <w:gridCol w:w="2934"/>
      </w:tblGrid>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10"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hAnsi="宋体" w:cs="宋体"/>
                <w:b/>
                <w:bCs/>
                <w:sz w:val="30"/>
                <w:szCs w:val="30"/>
              </w:rPr>
            </w:pPr>
            <w:r>
              <w:rPr>
                <w:rFonts w:hint="eastAsia" w:ascii="宋体" w:hAnsi="宋体" w:cs="宋体"/>
                <w:b/>
                <w:bCs/>
                <w:sz w:val="30"/>
                <w:szCs w:val="30"/>
              </w:rPr>
              <w:t>名  称</w:t>
            </w:r>
          </w:p>
        </w:tc>
        <w:tc>
          <w:tcPr>
            <w:tcW w:w="8881" w:type="dxa"/>
            <w:gridSpan w:val="4"/>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sz w:val="30"/>
                <w:szCs w:val="30"/>
              </w:rPr>
            </w:pPr>
            <w:r>
              <w:rPr>
                <w:rFonts w:hint="eastAsia" w:ascii="宋体" w:hAnsi="宋体" w:cs="宋体"/>
                <w:b/>
                <w:bCs/>
                <w:sz w:val="30"/>
                <w:szCs w:val="30"/>
              </w:rPr>
              <w:t>住    院</w:t>
            </w:r>
          </w:p>
        </w:tc>
        <w:tc>
          <w:tcPr>
            <w:tcW w:w="6142"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sz w:val="30"/>
                <w:szCs w:val="30"/>
              </w:rPr>
            </w:pPr>
            <w:r>
              <w:rPr>
                <w:rFonts w:hint="eastAsia" w:ascii="宋体" w:hAnsi="宋体" w:cs="宋体"/>
                <w:b/>
                <w:bCs/>
                <w:sz w:val="30"/>
                <w:szCs w:val="30"/>
              </w:rPr>
              <w:t>门    诊</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210" w:type="dxa"/>
            <w:vMerge w:val="continue"/>
            <w:tcBorders>
              <w:top w:val="single" w:color="000000" w:sz="6" w:space="0"/>
              <w:left w:val="single" w:color="000000" w:sz="6" w:space="0"/>
              <w:bottom w:val="single" w:color="000000" w:sz="6" w:space="0"/>
              <w:right w:val="single" w:color="000000" w:sz="6" w:space="0"/>
            </w:tcBorders>
          </w:tcPr>
          <w:p>
            <w:pPr>
              <w:spacing w:line="300" w:lineRule="exact"/>
              <w:jc w:val="center"/>
              <w:rPr>
                <w:b/>
                <w:bCs/>
              </w:rPr>
            </w:pPr>
          </w:p>
        </w:tc>
        <w:tc>
          <w:tcPr>
            <w:tcW w:w="6270"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b/>
                <w:bCs/>
                <w:szCs w:val="21"/>
              </w:rPr>
            </w:pPr>
            <w:r>
              <w:rPr>
                <w:rFonts w:hint="eastAsia"/>
                <w:b/>
                <w:bCs/>
                <w:szCs w:val="21"/>
              </w:rPr>
              <w:t>住院医疗统筹</w:t>
            </w:r>
          </w:p>
        </w:tc>
        <w:tc>
          <w:tcPr>
            <w:tcW w:w="2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b/>
                <w:bCs/>
                <w:szCs w:val="21"/>
              </w:rPr>
            </w:pPr>
            <w:r>
              <w:rPr>
                <w:rFonts w:hint="eastAsia"/>
                <w:b/>
                <w:bCs/>
                <w:szCs w:val="21"/>
              </w:rPr>
              <w:t>大病保险</w:t>
            </w:r>
          </w:p>
        </w:tc>
        <w:tc>
          <w:tcPr>
            <w:tcW w:w="6142" w:type="dxa"/>
            <w:gridSpan w:val="3"/>
            <w:tcBorders>
              <w:top w:val="single" w:color="000000" w:sz="6" w:space="0"/>
              <w:left w:val="single" w:color="000000" w:sz="6" w:space="0"/>
              <w:bottom w:val="single" w:color="000000" w:sz="6" w:space="0"/>
              <w:right w:val="single" w:color="000000" w:sz="6" w:space="0"/>
            </w:tcBorders>
          </w:tcPr>
          <w:p>
            <w:pPr>
              <w:spacing w:line="300" w:lineRule="exact"/>
              <w:jc w:val="center"/>
              <w:rPr>
                <w:b/>
                <w:bCs/>
              </w:rPr>
            </w:pPr>
            <w:r>
              <w:rPr>
                <w:rFonts w:hint="eastAsia"/>
                <w:b/>
                <w:bCs/>
              </w:rPr>
              <w:t>门诊医疗统筹</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10"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b/>
                <w:bCs/>
              </w:rPr>
            </w:pPr>
            <w:r>
              <w:rPr>
                <w:rFonts w:hint="eastAsia"/>
                <w:b/>
                <w:bCs/>
              </w:rPr>
              <w:t>起付标准</w:t>
            </w:r>
          </w:p>
          <w:p>
            <w:pPr>
              <w:spacing w:line="300" w:lineRule="exact"/>
              <w:jc w:val="center"/>
              <w:rPr>
                <w:b/>
                <w:bCs/>
              </w:rPr>
            </w:pPr>
            <w:r>
              <w:rPr>
                <w:rFonts w:hint="eastAsia"/>
                <w:b/>
                <w:bCs/>
                <w:sz w:val="18"/>
                <w:szCs w:val="18"/>
              </w:rPr>
              <w:t>（个人自负）</w:t>
            </w:r>
          </w:p>
        </w:tc>
        <w:tc>
          <w:tcPr>
            <w:tcW w:w="17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b/>
                <w:bCs/>
              </w:rPr>
            </w:pPr>
            <w:r>
              <w:rPr>
                <w:rFonts w:hint="eastAsia"/>
                <w:b/>
                <w:bCs/>
              </w:rPr>
              <w:t>基层医疗机构</w:t>
            </w:r>
          </w:p>
        </w:tc>
        <w:tc>
          <w:tcPr>
            <w:tcW w:w="26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b/>
                <w:bCs/>
              </w:rPr>
            </w:pPr>
            <w:r>
              <w:rPr>
                <w:rFonts w:hint="eastAsia"/>
                <w:b/>
                <w:bCs/>
              </w:rPr>
              <w:t>二级</w:t>
            </w:r>
            <w:r>
              <w:rPr>
                <w:rFonts w:hint="eastAsia"/>
                <w:b/>
                <w:bCs/>
                <w:lang w:eastAsia="zh-CN"/>
              </w:rPr>
              <w:t>及其他定点</w:t>
            </w:r>
            <w:r>
              <w:rPr>
                <w:rFonts w:hint="eastAsia"/>
                <w:b/>
                <w:bCs/>
              </w:rPr>
              <w:t>医疗机构</w:t>
            </w:r>
          </w:p>
        </w:tc>
        <w:tc>
          <w:tcPr>
            <w:tcW w:w="19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b/>
                <w:bCs/>
              </w:rPr>
            </w:pPr>
            <w:r>
              <w:rPr>
                <w:rFonts w:hint="eastAsia"/>
                <w:b/>
                <w:bCs/>
              </w:rPr>
              <w:t>三级医疗机构</w:t>
            </w:r>
          </w:p>
        </w:tc>
        <w:tc>
          <w:tcPr>
            <w:tcW w:w="2611"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1" w:firstLineChars="200"/>
              <w:rPr>
                <w:b/>
                <w:bCs/>
              </w:rPr>
            </w:pPr>
            <w:r>
              <w:rPr>
                <w:rFonts w:hint="eastAsia"/>
                <w:b/>
                <w:bCs/>
              </w:rPr>
              <w:t>各级医疗机构</w:t>
            </w:r>
          </w:p>
        </w:tc>
        <w:tc>
          <w:tcPr>
            <w:tcW w:w="320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b/>
                <w:bCs/>
              </w:rPr>
            </w:pPr>
            <w:r>
              <w:rPr>
                <w:rFonts w:hint="eastAsia" w:ascii="宋体" w:hAnsi="宋体" w:cs="宋体"/>
                <w:b/>
                <w:bCs/>
                <w:sz w:val="22"/>
                <w:szCs w:val="22"/>
              </w:rPr>
              <w:t>市内</w:t>
            </w:r>
            <w:r>
              <w:rPr>
                <w:rFonts w:hint="eastAsia" w:ascii="宋体" w:hAnsi="宋体" w:cs="宋体"/>
                <w:b/>
                <w:bCs/>
                <w:kern w:val="0"/>
                <w:sz w:val="22"/>
                <w:szCs w:val="22"/>
              </w:rPr>
              <w:t>基层医疗机构</w:t>
            </w:r>
          </w:p>
        </w:tc>
        <w:tc>
          <w:tcPr>
            <w:tcW w:w="29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b/>
                <w:bCs/>
              </w:rPr>
            </w:pPr>
            <w:r>
              <w:rPr>
                <w:b/>
                <w:bCs/>
              </w:rPr>
              <w:t>市内</w:t>
            </w:r>
            <w:r>
              <w:rPr>
                <w:rFonts w:hint="eastAsia"/>
                <w:b/>
                <w:bCs/>
              </w:rPr>
              <w:t>其他</w:t>
            </w:r>
            <w:r>
              <w:rPr>
                <w:b/>
                <w:bCs/>
              </w:rPr>
              <w:t>医疗机构</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10" w:type="dxa"/>
            <w:vMerge w:val="continue"/>
            <w:tcBorders>
              <w:top w:val="single" w:color="000000" w:sz="6" w:space="0"/>
              <w:left w:val="single" w:color="000000" w:sz="6" w:space="0"/>
              <w:bottom w:val="single" w:color="000000" w:sz="6" w:space="0"/>
              <w:right w:val="single" w:color="000000" w:sz="6" w:space="0"/>
            </w:tcBorders>
          </w:tcPr>
          <w:p>
            <w:pPr>
              <w:spacing w:line="300" w:lineRule="exact"/>
              <w:jc w:val="center"/>
              <w:rPr>
                <w:b/>
                <w:bCs/>
              </w:rPr>
            </w:pPr>
          </w:p>
        </w:tc>
        <w:tc>
          <w:tcPr>
            <w:tcW w:w="17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color w:val="auto"/>
              </w:rPr>
            </w:pPr>
            <w:r>
              <w:rPr>
                <w:rFonts w:hint="eastAsia" w:ascii="宋体" w:hAnsi="宋体" w:cs="宋体"/>
                <w:b/>
                <w:bCs/>
                <w:color w:val="auto"/>
              </w:rPr>
              <w:t>300元</w:t>
            </w:r>
          </w:p>
        </w:tc>
        <w:tc>
          <w:tcPr>
            <w:tcW w:w="26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color w:val="auto"/>
              </w:rPr>
            </w:pPr>
            <w:r>
              <w:rPr>
                <w:rFonts w:hint="eastAsia" w:ascii="宋体" w:hAnsi="宋体" w:cs="宋体"/>
                <w:b/>
                <w:bCs/>
                <w:color w:val="auto"/>
              </w:rPr>
              <w:t>400元</w:t>
            </w:r>
          </w:p>
        </w:tc>
        <w:tc>
          <w:tcPr>
            <w:tcW w:w="19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color w:val="auto"/>
              </w:rPr>
            </w:pPr>
            <w:r>
              <w:rPr>
                <w:rFonts w:hint="eastAsia" w:ascii="宋体" w:hAnsi="宋体" w:cs="宋体"/>
                <w:b/>
                <w:bCs/>
                <w:color w:val="auto"/>
              </w:rPr>
              <w:t>700元</w:t>
            </w:r>
          </w:p>
        </w:tc>
        <w:tc>
          <w:tcPr>
            <w:tcW w:w="2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color w:val="auto"/>
              </w:rPr>
            </w:pPr>
            <w:r>
              <w:rPr>
                <w:rFonts w:hint="eastAsia" w:ascii="宋体" w:hAnsi="宋体" w:cs="宋体"/>
                <w:b/>
                <w:bCs/>
                <w:color w:val="auto"/>
              </w:rPr>
              <w:t>25700元</w:t>
            </w:r>
          </w:p>
        </w:tc>
        <w:tc>
          <w:tcPr>
            <w:tcW w:w="320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color w:val="auto"/>
              </w:rPr>
            </w:pPr>
            <w:r>
              <w:rPr>
                <w:rFonts w:hint="eastAsia" w:ascii="宋体" w:hAnsi="宋体" w:cs="宋体"/>
                <w:b/>
                <w:bCs/>
                <w:color w:val="auto"/>
                <w:sz w:val="24"/>
              </w:rPr>
              <w:t>/</w:t>
            </w:r>
          </w:p>
        </w:tc>
        <w:tc>
          <w:tcPr>
            <w:tcW w:w="29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color w:val="auto"/>
              </w:rPr>
            </w:pPr>
            <w:r>
              <w:rPr>
                <w:rFonts w:hint="eastAsia" w:ascii="宋体" w:hAnsi="宋体" w:cs="宋体"/>
                <w:b/>
                <w:bCs/>
                <w:color w:val="auto"/>
              </w:rPr>
              <w:t>100元</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12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b/>
                <w:bCs/>
              </w:rPr>
            </w:pPr>
            <w:r>
              <w:rPr>
                <w:rFonts w:hint="eastAsia"/>
                <w:b/>
                <w:bCs/>
              </w:rPr>
              <w:t>封顶线</w:t>
            </w:r>
          </w:p>
        </w:tc>
        <w:tc>
          <w:tcPr>
            <w:tcW w:w="6270"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b/>
                <w:bCs/>
                <w:color w:val="auto"/>
              </w:rPr>
            </w:pPr>
            <w:r>
              <w:rPr>
                <w:rFonts w:hint="eastAsia"/>
                <w:b/>
                <w:bCs/>
                <w:color w:val="auto"/>
              </w:rPr>
              <w:t>医保合规费用最高限额</w:t>
            </w:r>
            <w:r>
              <w:rPr>
                <w:rFonts w:hint="eastAsia" w:ascii="宋体" w:hAnsi="宋体" w:cs="宋体"/>
                <w:b/>
                <w:bCs/>
                <w:color w:val="auto"/>
              </w:rPr>
              <w:t>20</w:t>
            </w:r>
            <w:r>
              <w:rPr>
                <w:rFonts w:hint="eastAsia"/>
                <w:b/>
                <w:bCs/>
                <w:color w:val="auto"/>
              </w:rPr>
              <w:t>万元（含）</w:t>
            </w:r>
          </w:p>
        </w:tc>
        <w:tc>
          <w:tcPr>
            <w:tcW w:w="2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color w:val="auto"/>
              </w:rPr>
            </w:pPr>
            <w:r>
              <w:rPr>
                <w:rFonts w:hint="eastAsia" w:ascii="宋体" w:hAnsi="宋体" w:cs="宋体"/>
                <w:b/>
                <w:bCs/>
                <w:color w:val="auto"/>
              </w:rPr>
              <w:t>因慢病特病门诊及住院发生个人自付医疗费用，以及大病的药品、诊疗及医用耗材，起付标准以上至</w:t>
            </w:r>
          </w:p>
          <w:p>
            <w:pPr>
              <w:spacing w:line="300" w:lineRule="exact"/>
              <w:jc w:val="center"/>
              <w:rPr>
                <w:b/>
                <w:bCs/>
                <w:color w:val="auto"/>
              </w:rPr>
            </w:pPr>
            <w:r>
              <w:rPr>
                <w:rFonts w:hint="eastAsia" w:ascii="宋体" w:hAnsi="宋体" w:cs="宋体"/>
                <w:b/>
                <w:bCs/>
                <w:color w:val="auto"/>
              </w:rPr>
              <w:t>385500元（含）</w:t>
            </w:r>
          </w:p>
        </w:tc>
        <w:tc>
          <w:tcPr>
            <w:tcW w:w="6142"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color w:val="auto"/>
              </w:rPr>
            </w:pPr>
          </w:p>
          <w:p>
            <w:pPr>
              <w:spacing w:line="300" w:lineRule="exact"/>
              <w:jc w:val="center"/>
              <w:rPr>
                <w:rFonts w:ascii="宋体" w:hAnsi="宋体" w:cs="宋体"/>
                <w:b/>
                <w:bCs/>
                <w:color w:val="auto"/>
              </w:rPr>
            </w:pPr>
            <w:r>
              <w:rPr>
                <w:rFonts w:hint="eastAsia" w:ascii="宋体" w:hAnsi="宋体" w:cs="宋体"/>
                <w:b/>
                <w:bCs/>
                <w:color w:val="auto"/>
              </w:rPr>
              <w:t>医保合规费用最高限额1500元（含）</w:t>
            </w:r>
          </w:p>
          <w:p>
            <w:pPr>
              <w:spacing w:line="300" w:lineRule="exact"/>
              <w:jc w:val="center"/>
              <w:rPr>
                <w:rFonts w:ascii="宋体" w:hAnsi="宋体" w:cs="宋体"/>
                <w:b/>
                <w:bCs/>
                <w:color w:val="auto"/>
              </w:rPr>
            </w:pP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10" w:type="dxa"/>
            <w:tcBorders>
              <w:top w:val="single" w:color="000000" w:sz="6" w:space="0"/>
              <w:left w:val="single" w:color="000000" w:sz="6" w:space="0"/>
              <w:right w:val="single" w:color="000000" w:sz="6" w:space="0"/>
            </w:tcBorders>
            <w:vAlign w:val="center"/>
          </w:tcPr>
          <w:p>
            <w:pPr>
              <w:spacing w:line="300" w:lineRule="exact"/>
              <w:jc w:val="center"/>
              <w:rPr>
                <w:b/>
                <w:bCs/>
              </w:rPr>
            </w:pPr>
            <w:r>
              <w:rPr>
                <w:rFonts w:hint="eastAsia"/>
                <w:b/>
                <w:bCs/>
              </w:rPr>
              <w:t>医疗机构</w:t>
            </w:r>
          </w:p>
        </w:tc>
        <w:tc>
          <w:tcPr>
            <w:tcW w:w="1702" w:type="dxa"/>
            <w:tcBorders>
              <w:top w:val="single" w:color="000000" w:sz="6" w:space="0"/>
              <w:left w:val="single" w:color="000000" w:sz="6" w:space="0"/>
              <w:right w:val="single" w:color="auto" w:sz="4" w:space="0"/>
            </w:tcBorders>
            <w:vAlign w:val="center"/>
          </w:tcPr>
          <w:p>
            <w:pPr>
              <w:spacing w:line="300" w:lineRule="exact"/>
              <w:jc w:val="both"/>
              <w:rPr>
                <w:b/>
                <w:bCs/>
              </w:rPr>
            </w:pPr>
            <w:r>
              <w:rPr>
                <w:rFonts w:hint="eastAsia" w:ascii="宋体" w:hAnsi="宋体"/>
                <w:b/>
                <w:bCs/>
                <w:kern w:val="0"/>
                <w:sz w:val="22"/>
                <w:lang w:eastAsia="zh-CN"/>
              </w:rPr>
              <w:t>基层</w:t>
            </w:r>
            <w:r>
              <w:rPr>
                <w:rFonts w:hint="eastAsia" w:ascii="宋体" w:hAnsi="宋体"/>
                <w:b/>
                <w:bCs/>
                <w:kern w:val="0"/>
                <w:sz w:val="22"/>
              </w:rPr>
              <w:t>医疗机构</w:t>
            </w:r>
          </w:p>
        </w:tc>
        <w:tc>
          <w:tcPr>
            <w:tcW w:w="2655" w:type="dxa"/>
            <w:tcBorders>
              <w:top w:val="single" w:color="000000" w:sz="6" w:space="0"/>
              <w:left w:val="single" w:color="auto" w:sz="4" w:space="0"/>
              <w:right w:val="single" w:color="000000" w:sz="6" w:space="0"/>
            </w:tcBorders>
            <w:vAlign w:val="center"/>
          </w:tcPr>
          <w:p>
            <w:pPr>
              <w:spacing w:line="300" w:lineRule="exact"/>
              <w:jc w:val="center"/>
              <w:rPr>
                <w:b/>
                <w:bCs/>
                <w:color w:val="auto"/>
              </w:rPr>
            </w:pPr>
            <w:r>
              <w:rPr>
                <w:rFonts w:hint="eastAsia" w:ascii="宋体" w:hAnsi="宋体"/>
                <w:b/>
                <w:bCs/>
                <w:color w:val="auto"/>
                <w:kern w:val="0"/>
                <w:sz w:val="22"/>
              </w:rPr>
              <w:t>二级</w:t>
            </w:r>
            <w:r>
              <w:rPr>
                <w:rFonts w:hint="eastAsia" w:ascii="宋体" w:hAnsi="宋体"/>
                <w:b/>
                <w:bCs/>
                <w:color w:val="auto"/>
                <w:kern w:val="0"/>
                <w:sz w:val="22"/>
                <w:lang w:eastAsia="zh-CN"/>
              </w:rPr>
              <w:t>及其他定点</w:t>
            </w:r>
            <w:r>
              <w:rPr>
                <w:rFonts w:hint="eastAsia" w:ascii="宋体" w:hAnsi="宋体"/>
                <w:b/>
                <w:bCs/>
                <w:color w:val="auto"/>
                <w:kern w:val="0"/>
                <w:sz w:val="22"/>
              </w:rPr>
              <w:t>医疗机构</w:t>
            </w:r>
          </w:p>
        </w:tc>
        <w:tc>
          <w:tcPr>
            <w:tcW w:w="1913" w:type="dxa"/>
            <w:tcBorders>
              <w:top w:val="single" w:color="000000" w:sz="6" w:space="0"/>
              <w:left w:val="single" w:color="000000" w:sz="6" w:space="0"/>
              <w:right w:val="single" w:color="000000" w:sz="6" w:space="0"/>
            </w:tcBorders>
            <w:vAlign w:val="center"/>
          </w:tcPr>
          <w:p>
            <w:pPr>
              <w:spacing w:line="300" w:lineRule="exact"/>
              <w:jc w:val="center"/>
              <w:rPr>
                <w:b/>
                <w:bCs/>
                <w:color w:val="auto"/>
              </w:rPr>
            </w:pPr>
            <w:r>
              <w:rPr>
                <w:rFonts w:hint="eastAsia" w:ascii="宋体" w:hAnsi="宋体"/>
                <w:b/>
                <w:bCs/>
                <w:color w:val="auto"/>
                <w:kern w:val="0"/>
                <w:sz w:val="22"/>
              </w:rPr>
              <w:t>三级医疗机构</w:t>
            </w:r>
          </w:p>
        </w:tc>
        <w:tc>
          <w:tcPr>
            <w:tcW w:w="2611" w:type="dxa"/>
            <w:tcBorders>
              <w:top w:val="single" w:color="000000" w:sz="6" w:space="0"/>
              <w:left w:val="single" w:color="000000" w:sz="6" w:space="0"/>
              <w:right w:val="single" w:color="000000" w:sz="6" w:space="0"/>
            </w:tcBorders>
            <w:vAlign w:val="center"/>
          </w:tcPr>
          <w:p>
            <w:pPr>
              <w:spacing w:line="300" w:lineRule="exact"/>
              <w:jc w:val="center"/>
              <w:rPr>
                <w:b/>
                <w:bCs/>
                <w:color w:val="auto"/>
              </w:rPr>
            </w:pPr>
            <w:r>
              <w:rPr>
                <w:rFonts w:hint="eastAsia"/>
                <w:b/>
                <w:bCs/>
                <w:color w:val="auto"/>
              </w:rPr>
              <w:t>各级医疗机构</w:t>
            </w:r>
          </w:p>
        </w:tc>
        <w:tc>
          <w:tcPr>
            <w:tcW w:w="2984" w:type="dxa"/>
            <w:tcBorders>
              <w:top w:val="single" w:color="000000" w:sz="6" w:space="0"/>
              <w:left w:val="single" w:color="000000" w:sz="6" w:space="0"/>
              <w:right w:val="single" w:color="auto" w:sz="4" w:space="0"/>
            </w:tcBorders>
            <w:vAlign w:val="center"/>
          </w:tcPr>
          <w:p>
            <w:pPr>
              <w:spacing w:line="300" w:lineRule="exact"/>
              <w:jc w:val="center"/>
              <w:rPr>
                <w:rFonts w:ascii="宋体" w:hAnsi="宋体" w:cs="宋体"/>
                <w:b/>
                <w:bCs/>
              </w:rPr>
            </w:pPr>
            <w:r>
              <w:rPr>
                <w:rFonts w:hint="eastAsia" w:ascii="宋体" w:hAnsi="宋体" w:cs="宋体"/>
                <w:b/>
                <w:bCs/>
                <w:sz w:val="22"/>
                <w:szCs w:val="22"/>
              </w:rPr>
              <w:t>市内</w:t>
            </w:r>
            <w:r>
              <w:rPr>
                <w:rFonts w:hint="eastAsia" w:ascii="宋体" w:hAnsi="宋体" w:cs="宋体"/>
                <w:b/>
                <w:bCs/>
                <w:kern w:val="0"/>
                <w:sz w:val="22"/>
                <w:szCs w:val="22"/>
              </w:rPr>
              <w:t>基层医疗机构</w:t>
            </w:r>
          </w:p>
        </w:tc>
        <w:tc>
          <w:tcPr>
            <w:tcW w:w="3158" w:type="dxa"/>
            <w:gridSpan w:val="2"/>
            <w:tcBorders>
              <w:top w:val="single" w:color="000000" w:sz="6" w:space="0"/>
              <w:left w:val="single" w:color="auto" w:sz="4" w:space="0"/>
              <w:right w:val="single" w:color="000000" w:sz="6" w:space="0"/>
            </w:tcBorders>
            <w:vAlign w:val="center"/>
          </w:tcPr>
          <w:p>
            <w:pPr>
              <w:spacing w:line="300" w:lineRule="exact"/>
              <w:jc w:val="center"/>
              <w:rPr>
                <w:rFonts w:ascii="宋体" w:hAnsi="宋体" w:cs="宋体"/>
                <w:b/>
                <w:bCs/>
              </w:rPr>
            </w:pPr>
            <w:r>
              <w:rPr>
                <w:rFonts w:hint="eastAsia" w:ascii="宋体" w:hAnsi="宋体" w:cs="宋体"/>
                <w:b/>
                <w:bCs/>
              </w:rPr>
              <w:t>市内其他医疗机构、零售药店</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10" w:type="dxa"/>
            <w:tcBorders>
              <w:top w:val="single" w:color="000000" w:sz="6" w:space="0"/>
              <w:left w:val="single" w:color="000000" w:sz="6" w:space="0"/>
              <w:bottom w:val="single" w:color="auto" w:sz="4" w:space="0"/>
              <w:right w:val="single" w:color="000000" w:sz="6" w:space="0"/>
            </w:tcBorders>
            <w:vAlign w:val="center"/>
          </w:tcPr>
          <w:p>
            <w:pPr>
              <w:spacing w:line="300" w:lineRule="exact"/>
              <w:jc w:val="center"/>
              <w:rPr>
                <w:b/>
                <w:bCs/>
              </w:rPr>
            </w:pPr>
            <w:r>
              <w:rPr>
                <w:rFonts w:hint="eastAsia"/>
                <w:b/>
                <w:bCs/>
              </w:rPr>
              <w:t>报销比例</w:t>
            </w:r>
          </w:p>
        </w:tc>
        <w:tc>
          <w:tcPr>
            <w:tcW w:w="1702" w:type="dxa"/>
            <w:tcBorders>
              <w:top w:val="single" w:color="000000" w:sz="6" w:space="0"/>
              <w:left w:val="single" w:color="000000" w:sz="6" w:space="0"/>
              <w:bottom w:val="single" w:color="auto" w:sz="4" w:space="0"/>
              <w:right w:val="single" w:color="auto" w:sz="4" w:space="0"/>
            </w:tcBorders>
            <w:vAlign w:val="center"/>
          </w:tcPr>
          <w:p>
            <w:pPr>
              <w:spacing w:line="300" w:lineRule="exact"/>
              <w:jc w:val="center"/>
              <w:rPr>
                <w:rFonts w:ascii="宋体" w:hAnsi="宋体" w:cs="宋体"/>
                <w:b/>
                <w:bCs/>
              </w:rPr>
            </w:pPr>
            <w:r>
              <w:rPr>
                <w:rFonts w:hint="eastAsia" w:ascii="宋体" w:hAnsi="宋体" w:cs="宋体"/>
                <w:b/>
                <w:bCs/>
              </w:rPr>
              <w:t>90%</w:t>
            </w:r>
          </w:p>
        </w:tc>
        <w:tc>
          <w:tcPr>
            <w:tcW w:w="2655" w:type="dxa"/>
            <w:tcBorders>
              <w:top w:val="single" w:color="000000" w:sz="6" w:space="0"/>
              <w:left w:val="single" w:color="auto" w:sz="4" w:space="0"/>
              <w:bottom w:val="single" w:color="auto" w:sz="4" w:space="0"/>
              <w:right w:val="single" w:color="000000" w:sz="6" w:space="0"/>
            </w:tcBorders>
            <w:vAlign w:val="center"/>
          </w:tcPr>
          <w:p>
            <w:pPr>
              <w:spacing w:line="300" w:lineRule="exact"/>
              <w:jc w:val="center"/>
              <w:rPr>
                <w:rFonts w:ascii="宋体" w:hAnsi="宋体" w:cs="宋体"/>
                <w:b/>
                <w:bCs/>
                <w:color w:val="auto"/>
              </w:rPr>
            </w:pPr>
            <w:r>
              <w:rPr>
                <w:rFonts w:hint="eastAsia" w:ascii="宋体" w:hAnsi="宋体" w:cs="宋体"/>
                <w:b/>
                <w:bCs/>
                <w:color w:val="auto"/>
              </w:rPr>
              <w:t>80%</w:t>
            </w:r>
          </w:p>
        </w:tc>
        <w:tc>
          <w:tcPr>
            <w:tcW w:w="1913" w:type="dxa"/>
            <w:tcBorders>
              <w:top w:val="single" w:color="000000" w:sz="6" w:space="0"/>
              <w:left w:val="single" w:color="000000" w:sz="6" w:space="0"/>
              <w:bottom w:val="single" w:color="auto" w:sz="4" w:space="0"/>
              <w:right w:val="single" w:color="000000" w:sz="6" w:space="0"/>
            </w:tcBorders>
            <w:vAlign w:val="center"/>
          </w:tcPr>
          <w:p>
            <w:pPr>
              <w:spacing w:line="300" w:lineRule="exact"/>
              <w:jc w:val="center"/>
              <w:rPr>
                <w:rFonts w:ascii="宋体" w:hAnsi="宋体" w:cs="宋体"/>
                <w:b/>
                <w:bCs/>
                <w:color w:val="auto"/>
              </w:rPr>
            </w:pPr>
            <w:r>
              <w:rPr>
                <w:rFonts w:hint="eastAsia" w:ascii="宋体" w:hAnsi="宋体" w:cs="宋体"/>
                <w:b/>
                <w:bCs/>
                <w:color w:val="auto"/>
              </w:rPr>
              <w:t>70%</w:t>
            </w:r>
          </w:p>
        </w:tc>
        <w:tc>
          <w:tcPr>
            <w:tcW w:w="2611" w:type="dxa"/>
            <w:tcBorders>
              <w:top w:val="single" w:color="000000" w:sz="6" w:space="0"/>
              <w:left w:val="single" w:color="000000" w:sz="6" w:space="0"/>
              <w:bottom w:val="single" w:color="auto" w:sz="4" w:space="0"/>
              <w:right w:val="single" w:color="000000" w:sz="6" w:space="0"/>
            </w:tcBorders>
            <w:vAlign w:val="center"/>
          </w:tcPr>
          <w:p>
            <w:pPr>
              <w:spacing w:line="300" w:lineRule="exact"/>
              <w:jc w:val="center"/>
              <w:rPr>
                <w:rFonts w:ascii="宋体" w:hAnsi="宋体" w:cs="宋体"/>
                <w:b/>
                <w:bCs/>
                <w:color w:val="auto"/>
              </w:rPr>
            </w:pPr>
            <w:r>
              <w:rPr>
                <w:rFonts w:hint="eastAsia" w:ascii="宋体" w:hAnsi="宋体" w:cs="宋体"/>
                <w:b/>
                <w:bCs/>
                <w:color w:val="auto"/>
              </w:rPr>
              <w:t>70%</w:t>
            </w:r>
          </w:p>
        </w:tc>
        <w:tc>
          <w:tcPr>
            <w:tcW w:w="2984" w:type="dxa"/>
            <w:tcBorders>
              <w:top w:val="single" w:color="000000" w:sz="6" w:space="0"/>
              <w:left w:val="single" w:color="000000" w:sz="6" w:space="0"/>
              <w:right w:val="single" w:color="auto" w:sz="4" w:space="0"/>
            </w:tcBorders>
            <w:vAlign w:val="center"/>
          </w:tcPr>
          <w:p>
            <w:pPr>
              <w:spacing w:line="300" w:lineRule="exact"/>
              <w:jc w:val="center"/>
              <w:rPr>
                <w:rFonts w:ascii="宋体" w:hAnsi="宋体" w:cs="宋体"/>
                <w:b/>
                <w:bCs/>
              </w:rPr>
            </w:pPr>
            <w:r>
              <w:rPr>
                <w:rFonts w:hint="eastAsia" w:ascii="宋体" w:hAnsi="宋体" w:cs="宋体"/>
                <w:b/>
                <w:bCs/>
              </w:rPr>
              <w:t>50%</w:t>
            </w:r>
          </w:p>
          <w:p>
            <w:pPr>
              <w:spacing w:line="300" w:lineRule="exact"/>
              <w:jc w:val="center"/>
              <w:rPr>
                <w:rFonts w:hint="eastAsia" w:ascii="宋体" w:hAnsi="宋体" w:cs="宋体"/>
                <w:b/>
                <w:bCs/>
              </w:rPr>
            </w:pPr>
            <w:r>
              <w:rPr>
                <w:rFonts w:hint="eastAsia" w:ascii="宋体" w:hAnsi="宋体" w:cs="宋体"/>
                <w:b/>
                <w:bCs/>
              </w:rPr>
              <w:t>（慢性病60%、其中</w:t>
            </w:r>
          </w:p>
          <w:p>
            <w:pPr>
              <w:spacing w:line="300" w:lineRule="exact"/>
              <w:jc w:val="center"/>
              <w:rPr>
                <w:rFonts w:ascii="宋体" w:hAnsi="宋体" w:cs="宋体"/>
                <w:b/>
                <w:bCs/>
              </w:rPr>
            </w:pPr>
            <w:r>
              <w:rPr>
                <w:rFonts w:hint="eastAsia" w:ascii="宋体" w:hAnsi="宋体" w:cs="宋体"/>
                <w:b/>
                <w:bCs/>
              </w:rPr>
              <w:t>肺结核70%）</w:t>
            </w:r>
          </w:p>
        </w:tc>
        <w:tc>
          <w:tcPr>
            <w:tcW w:w="3158" w:type="dxa"/>
            <w:gridSpan w:val="2"/>
            <w:tcBorders>
              <w:top w:val="single" w:color="000000" w:sz="6" w:space="0"/>
              <w:left w:val="single" w:color="auto" w:sz="4" w:space="0"/>
              <w:right w:val="single" w:color="000000" w:sz="6" w:space="0"/>
            </w:tcBorders>
            <w:vAlign w:val="center"/>
          </w:tcPr>
          <w:p>
            <w:pPr>
              <w:spacing w:line="300" w:lineRule="exact"/>
              <w:jc w:val="center"/>
              <w:rPr>
                <w:rFonts w:ascii="宋体" w:hAnsi="宋体" w:cs="宋体"/>
                <w:b/>
                <w:bCs/>
              </w:rPr>
            </w:pPr>
            <w:r>
              <w:rPr>
                <w:rFonts w:hint="eastAsia" w:ascii="宋体" w:hAnsi="宋体" w:cs="宋体"/>
                <w:b/>
                <w:bCs/>
              </w:rPr>
              <w:t>35%</w:t>
            </w:r>
          </w:p>
          <w:p>
            <w:pPr>
              <w:spacing w:line="300" w:lineRule="exact"/>
              <w:jc w:val="center"/>
              <w:rPr>
                <w:rFonts w:ascii="宋体" w:hAnsi="宋体" w:cs="宋体"/>
                <w:b/>
                <w:bCs/>
              </w:rPr>
            </w:pPr>
            <w:r>
              <w:rPr>
                <w:rFonts w:hint="eastAsia" w:ascii="宋体" w:hAnsi="宋体" w:cs="宋体"/>
                <w:b/>
                <w:bCs/>
              </w:rPr>
              <w:t>（二级及以下医疗机构</w:t>
            </w:r>
          </w:p>
          <w:p>
            <w:pPr>
              <w:spacing w:line="300" w:lineRule="exact"/>
              <w:jc w:val="center"/>
              <w:rPr>
                <w:rFonts w:ascii="宋体" w:hAnsi="宋体" w:cs="宋体"/>
                <w:b/>
                <w:bCs/>
              </w:rPr>
            </w:pPr>
            <w:r>
              <w:rPr>
                <w:rFonts w:hint="eastAsia" w:ascii="宋体" w:hAnsi="宋体" w:cs="宋体"/>
                <w:b/>
                <w:bCs/>
              </w:rPr>
              <w:t>高血压 、糖尿病50%）</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10091" w:type="dxa"/>
            <w:gridSpan w:val="5"/>
            <w:tcBorders>
              <w:top w:val="single" w:color="000000" w:sz="6" w:space="0"/>
              <w:left w:val="single" w:color="000000" w:sz="6" w:space="0"/>
              <w:bottom w:val="single" w:color="000000" w:sz="4" w:space="0"/>
              <w:right w:val="single" w:color="000000" w:sz="6" w:space="0"/>
            </w:tcBorders>
            <w:vAlign w:val="center"/>
          </w:tcPr>
          <w:p>
            <w:pPr>
              <w:jc w:val="both"/>
              <w:rPr>
                <w:rFonts w:hint="eastAsia" w:eastAsia="宋体"/>
                <w:b/>
                <w:bCs/>
                <w:color w:val="auto"/>
                <w:lang w:eastAsia="zh-CN"/>
              </w:rPr>
            </w:pPr>
            <w:r>
              <w:rPr>
                <w:rFonts w:hint="eastAsia"/>
                <w:b/>
                <w:bCs/>
                <w:color w:val="auto"/>
              </w:rPr>
              <w:t>特殊病种（自备案之日起享受住院待遇）</w:t>
            </w:r>
            <w:r>
              <w:rPr>
                <w:rFonts w:hint="eastAsia"/>
                <w:b/>
                <w:bCs/>
                <w:color w:val="auto"/>
                <w:lang w:eastAsia="zh-CN"/>
              </w:rPr>
              <w:t>：</w:t>
            </w:r>
          </w:p>
          <w:p>
            <w:pPr>
              <w:numPr>
                <w:ilvl w:val="0"/>
                <w:numId w:val="1"/>
              </w:numPr>
              <w:rPr>
                <w:rFonts w:hint="eastAsia" w:ascii="宋体" w:hAnsi="宋体" w:cs="宋体"/>
                <w:b/>
                <w:bCs/>
              </w:rPr>
            </w:pPr>
            <w:r>
              <w:rPr>
                <w:rFonts w:hint="eastAsia" w:ascii="宋体" w:hAnsi="宋体" w:cs="宋体"/>
                <w:b/>
                <w:bCs/>
              </w:rPr>
              <w:t>各类恶性肿瘤的治疗</w:t>
            </w:r>
            <w:r>
              <w:rPr>
                <w:rFonts w:hint="eastAsia" w:ascii="宋体" w:hAnsi="宋体" w:cs="宋体"/>
                <w:b/>
                <w:bCs/>
              </w:rPr>
              <w:tab/>
            </w:r>
            <w:r>
              <w:rPr>
                <w:rFonts w:hint="eastAsia" w:ascii="宋体" w:hAnsi="宋体" w:cs="宋体"/>
                <w:b/>
                <w:bCs/>
              </w:rPr>
              <w:t xml:space="preserve">    2.器官移植后续治疗</w:t>
            </w:r>
            <w:r>
              <w:rPr>
                <w:rFonts w:hint="eastAsia" w:ascii="宋体" w:hAnsi="宋体" w:cs="宋体"/>
                <w:b/>
                <w:bCs/>
                <w:lang w:val="en-US" w:eastAsia="zh-CN"/>
              </w:rPr>
              <w:t xml:space="preserve">        </w:t>
            </w:r>
            <w:r>
              <w:rPr>
                <w:rFonts w:hint="eastAsia" w:ascii="宋体" w:hAnsi="宋体" w:cs="宋体"/>
                <w:b/>
                <w:bCs/>
              </w:rPr>
              <w:t xml:space="preserve">3.肾功能衰竭的腹膜透析、血液透析    </w:t>
            </w:r>
          </w:p>
          <w:p>
            <w:pPr>
              <w:numPr>
                <w:ilvl w:val="0"/>
                <w:numId w:val="0"/>
              </w:numPr>
              <w:rPr>
                <w:rFonts w:ascii="宋体" w:hAnsi="宋体" w:cs="宋体"/>
                <w:b/>
                <w:bCs/>
              </w:rPr>
            </w:pPr>
            <w:r>
              <w:rPr>
                <w:rFonts w:hint="eastAsia" w:ascii="宋体" w:hAnsi="宋体" w:cs="宋体"/>
                <w:b/>
                <w:bCs/>
              </w:rPr>
              <w:t>4.系统性红斑狼疮的治疗</w:t>
            </w:r>
            <w:r>
              <w:rPr>
                <w:rFonts w:hint="eastAsia" w:ascii="宋体" w:hAnsi="宋体" w:cs="宋体"/>
                <w:b/>
                <w:bCs/>
                <w:lang w:val="en-US" w:eastAsia="zh-CN"/>
              </w:rPr>
              <w:t xml:space="preserve">      </w:t>
            </w:r>
            <w:r>
              <w:rPr>
                <w:rFonts w:hint="eastAsia" w:ascii="宋体" w:hAnsi="宋体" w:cs="宋体"/>
                <w:b/>
                <w:bCs/>
              </w:rPr>
              <w:t>5.再生障碍性贫血的治疗</w:t>
            </w:r>
            <w:r>
              <w:rPr>
                <w:rFonts w:hint="eastAsia" w:ascii="宋体" w:hAnsi="宋体" w:cs="宋体"/>
                <w:b/>
                <w:bCs/>
              </w:rPr>
              <w:tab/>
            </w:r>
            <w:r>
              <w:rPr>
                <w:rFonts w:hint="eastAsia" w:ascii="宋体" w:hAnsi="宋体" w:cs="宋体"/>
                <w:b/>
                <w:bCs/>
              </w:rPr>
              <w:t xml:space="preserve">  6.血友病的治疗</w:t>
            </w:r>
          </w:p>
          <w:p>
            <w:pPr>
              <w:rPr>
                <w:rFonts w:ascii="宋体" w:hAnsi="宋体" w:cs="宋体"/>
                <w:b/>
                <w:bCs/>
              </w:rPr>
            </w:pPr>
            <w:r>
              <w:rPr>
                <w:rFonts w:hint="eastAsia" w:ascii="宋体" w:hAnsi="宋体" w:cs="宋体"/>
                <w:b/>
                <w:bCs/>
              </w:rPr>
              <w:t>7.重性精神病（包括精神分裂症、分裂情感障碍、偏执性精神障碍、癫痫所致精神障碍、精神发育迟滞所致的精神障碍及双向情感障碍）</w:t>
            </w:r>
            <w:r>
              <w:rPr>
                <w:rFonts w:hint="eastAsia" w:ascii="宋体" w:hAnsi="宋体" w:cs="宋体"/>
                <w:b/>
                <w:bCs/>
              </w:rPr>
              <w:tab/>
            </w:r>
            <w:r>
              <w:rPr>
                <w:rFonts w:hint="eastAsia" w:ascii="宋体" w:hAnsi="宋体" w:cs="宋体"/>
                <w:b/>
                <w:bCs/>
              </w:rPr>
              <w:t xml:space="preserve">                  </w:t>
            </w:r>
          </w:p>
          <w:p>
            <w:pPr>
              <w:jc w:val="left"/>
              <w:rPr>
                <w:rFonts w:hint="default" w:eastAsia="宋体"/>
                <w:b/>
                <w:bCs/>
                <w:lang w:val="en-US" w:eastAsia="zh-CN"/>
              </w:rPr>
            </w:pPr>
            <w:r>
              <w:rPr>
                <w:rFonts w:hint="eastAsia" w:ascii="宋体" w:hAnsi="宋体" w:cs="宋体"/>
                <w:b/>
                <w:bCs/>
              </w:rPr>
              <w:t>8.糖尿病胰岛素治疗          9.儿童孤独症治疗</w:t>
            </w:r>
            <w:r>
              <w:rPr>
                <w:rFonts w:hint="eastAsia" w:ascii="宋体" w:hAnsi="宋体" w:cs="宋体"/>
                <w:b/>
                <w:bCs/>
              </w:rPr>
              <w:tab/>
            </w:r>
            <w:r>
              <w:rPr>
                <w:rFonts w:hint="eastAsia" w:ascii="宋体" w:hAnsi="宋体" w:cs="宋体"/>
                <w:b/>
                <w:bCs/>
              </w:rPr>
              <w:t xml:space="preserve">    </w:t>
            </w:r>
            <w:r>
              <w:rPr>
                <w:rFonts w:hint="eastAsia" w:ascii="宋体" w:hAnsi="宋体" w:cs="宋体"/>
                <w:b/>
                <w:bCs/>
                <w:lang w:val="en-US" w:eastAsia="zh-CN"/>
              </w:rPr>
              <w:t xml:space="preserve"> </w:t>
            </w:r>
            <w:r>
              <w:rPr>
                <w:rFonts w:hint="eastAsia" w:ascii="宋体" w:hAnsi="宋体" w:cs="宋体"/>
                <w:b/>
                <w:bCs/>
              </w:rPr>
              <w:t xml:space="preserve"> 10.肺结核病辅助治疗</w:t>
            </w:r>
            <w:r>
              <w:rPr>
                <w:rFonts w:hint="eastAsia" w:ascii="宋体" w:hAnsi="宋体" w:cs="宋体"/>
                <w:b/>
                <w:bCs/>
                <w:lang w:val="en-US" w:eastAsia="zh-CN"/>
              </w:rPr>
              <w:t xml:space="preserve">     11、</w:t>
            </w:r>
            <w:r>
              <w:rPr>
                <w:rFonts w:hint="eastAsia" w:ascii="宋体" w:hAnsi="宋体" w:cs="宋体"/>
                <w:b/>
                <w:bCs/>
                <w:szCs w:val="21"/>
              </w:rPr>
              <w:t>癫痫</w:t>
            </w:r>
          </w:p>
        </w:tc>
        <w:tc>
          <w:tcPr>
            <w:tcW w:w="6142" w:type="dxa"/>
            <w:gridSpan w:val="3"/>
            <w:tcBorders>
              <w:top w:val="single" w:color="000000" w:sz="6" w:space="0"/>
              <w:left w:val="single" w:color="000000" w:sz="6" w:space="0"/>
              <w:right w:val="single" w:color="000000" w:sz="6" w:space="0"/>
            </w:tcBorders>
            <w:vAlign w:val="center"/>
          </w:tcPr>
          <w:p>
            <w:pPr>
              <w:jc w:val="both"/>
              <w:rPr>
                <w:rFonts w:hint="eastAsia" w:ascii="宋体" w:hAnsi="宋体" w:eastAsia="宋体" w:cs="宋体"/>
                <w:b/>
                <w:bCs/>
                <w:color w:val="auto"/>
                <w:lang w:eastAsia="zh-CN"/>
              </w:rPr>
            </w:pPr>
            <w:r>
              <w:rPr>
                <w:rFonts w:hint="eastAsia" w:ascii="宋体" w:hAnsi="宋体" w:cs="宋体"/>
                <w:b/>
                <w:bCs/>
                <w:color w:val="auto"/>
              </w:rPr>
              <w:t>慢性病种（1</w:t>
            </w:r>
            <w:r>
              <w:rPr>
                <w:rFonts w:hint="eastAsia" w:ascii="宋体" w:hAnsi="宋体" w:cs="宋体"/>
                <w:b/>
                <w:bCs/>
                <w:color w:val="auto"/>
                <w:lang w:val="en-US" w:eastAsia="zh-CN"/>
              </w:rPr>
              <w:t>3</w:t>
            </w:r>
            <w:r>
              <w:rPr>
                <w:rFonts w:hint="eastAsia" w:ascii="宋体" w:hAnsi="宋体" w:cs="宋体"/>
                <w:b/>
                <w:bCs/>
                <w:color w:val="auto"/>
              </w:rPr>
              <w:t>种）（无需备案）</w:t>
            </w:r>
            <w:r>
              <w:rPr>
                <w:rFonts w:hint="eastAsia" w:ascii="宋体" w:hAnsi="宋体" w:cs="宋体"/>
                <w:b/>
                <w:bCs/>
                <w:color w:val="auto"/>
                <w:lang w:eastAsia="zh-CN"/>
              </w:rPr>
              <w:t>：</w:t>
            </w:r>
          </w:p>
          <w:p>
            <w:pPr>
              <w:jc w:val="left"/>
              <w:rPr>
                <w:rFonts w:ascii="宋体" w:hAnsi="宋体" w:cs="宋体"/>
                <w:b/>
                <w:bCs/>
                <w:szCs w:val="21"/>
              </w:rPr>
            </w:pPr>
            <w:r>
              <w:rPr>
                <w:rFonts w:hint="eastAsia" w:ascii="宋体" w:hAnsi="宋体" w:cs="宋体"/>
                <w:b/>
                <w:bCs/>
                <w:szCs w:val="21"/>
              </w:rPr>
              <w:t xml:space="preserve">1.高血压  2.糖尿病  3.肺结核  4.冠心病  </w:t>
            </w:r>
          </w:p>
          <w:p>
            <w:pPr>
              <w:jc w:val="left"/>
              <w:rPr>
                <w:rFonts w:ascii="宋体" w:hAnsi="宋体" w:cs="宋体"/>
                <w:b/>
                <w:bCs/>
                <w:szCs w:val="21"/>
              </w:rPr>
            </w:pPr>
            <w:r>
              <w:rPr>
                <w:rFonts w:hint="eastAsia" w:ascii="宋体" w:hAnsi="宋体" w:cs="宋体"/>
                <w:b/>
                <w:bCs/>
                <w:szCs w:val="21"/>
              </w:rPr>
              <w:t>5.支气管哮喘 6.慢性肾脏病 7.慢性阻塞性肺疾病 8.慢性肝病</w:t>
            </w:r>
          </w:p>
          <w:p>
            <w:pPr>
              <w:jc w:val="left"/>
              <w:rPr>
                <w:rFonts w:ascii="宋体" w:hAnsi="宋体" w:cs="宋体"/>
                <w:b/>
                <w:bCs/>
                <w:szCs w:val="21"/>
              </w:rPr>
            </w:pPr>
            <w:r>
              <w:rPr>
                <w:rFonts w:hint="eastAsia" w:ascii="宋体" w:hAnsi="宋体" w:cs="宋体"/>
                <w:b/>
                <w:bCs/>
                <w:szCs w:val="21"/>
              </w:rPr>
              <w:t xml:space="preserve">9.帕金森病 10.类风湿关节炎11.阿尔茨海默病 </w:t>
            </w:r>
          </w:p>
          <w:p>
            <w:pPr>
              <w:jc w:val="left"/>
              <w:rPr>
                <w:b/>
                <w:bCs/>
              </w:rPr>
            </w:pPr>
            <w:r>
              <w:rPr>
                <w:rFonts w:hint="eastAsia" w:ascii="宋体" w:hAnsi="宋体" w:cs="宋体"/>
                <w:b/>
                <w:bCs/>
                <w:szCs w:val="21"/>
              </w:rPr>
              <w:t xml:space="preserve">12.精神分裂症（情感性精神病） 13.高脂血症 </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0091" w:type="dxa"/>
            <w:gridSpan w:val="5"/>
            <w:tcBorders>
              <w:top w:val="single" w:color="000000" w:sz="4" w:space="0"/>
              <w:left w:val="single" w:color="000000" w:sz="6" w:space="0"/>
              <w:bottom w:val="single" w:color="000000" w:sz="6" w:space="0"/>
              <w:right w:val="single" w:color="000000" w:sz="6" w:space="0"/>
            </w:tcBorders>
          </w:tcPr>
          <w:p>
            <w:pPr>
              <w:ind w:firstLine="421" w:firstLineChars="200"/>
              <w:rPr>
                <w:rFonts w:hint="eastAsia"/>
                <w:b/>
                <w:bCs/>
                <w:szCs w:val="21"/>
              </w:rPr>
            </w:pPr>
            <w:r>
              <w:rPr>
                <w:rFonts w:hint="eastAsia"/>
                <w:b/>
                <w:bCs/>
                <w:szCs w:val="21"/>
              </w:rPr>
              <w:t>注：</w:t>
            </w:r>
          </w:p>
          <w:p>
            <w:pPr>
              <w:ind w:firstLine="421" w:firstLineChars="200"/>
              <w:rPr>
                <w:rFonts w:hint="eastAsia"/>
                <w:b/>
                <w:bCs/>
                <w:szCs w:val="21"/>
              </w:rPr>
            </w:pPr>
            <w:r>
              <w:rPr>
                <w:rFonts w:hint="eastAsia"/>
                <w:b/>
                <w:bCs/>
                <w:szCs w:val="21"/>
              </w:rPr>
              <w:t>1.每年 1 月 1 日至12 月 31 日为城乡居民医保费用结算年度。</w:t>
            </w:r>
          </w:p>
          <w:p>
            <w:pPr>
              <w:ind w:firstLine="421" w:firstLineChars="200"/>
              <w:rPr>
                <w:rFonts w:hint="eastAsia"/>
                <w:b/>
                <w:bCs/>
                <w:szCs w:val="21"/>
              </w:rPr>
            </w:pPr>
            <w:r>
              <w:rPr>
                <w:rFonts w:hint="eastAsia"/>
                <w:b/>
                <w:bCs/>
                <w:szCs w:val="21"/>
              </w:rPr>
              <w:t>2.年度内只设一次住院起付标准</w:t>
            </w:r>
            <w:r>
              <w:rPr>
                <w:rFonts w:hint="eastAsia"/>
                <w:b/>
                <w:bCs/>
                <w:szCs w:val="21"/>
                <w:lang w:eastAsia="zh-CN"/>
              </w:rPr>
              <w:t>，</w:t>
            </w:r>
            <w:r>
              <w:rPr>
                <w:rFonts w:hint="eastAsia"/>
                <w:b/>
                <w:bCs/>
                <w:szCs w:val="21"/>
              </w:rPr>
              <w:t xml:space="preserve">年度内发生多次住院的，参保人起付段支付金额全年累计，起付段计付定额按其各次住院中所住医院级别最高的一次起付标准来确定。 </w:t>
            </w:r>
          </w:p>
          <w:p>
            <w:pPr>
              <w:ind w:firstLine="421" w:firstLineChars="200"/>
              <w:rPr>
                <w:rFonts w:hint="eastAsia"/>
                <w:b/>
                <w:bCs/>
                <w:szCs w:val="21"/>
              </w:rPr>
            </w:pPr>
            <w:r>
              <w:rPr>
                <w:rFonts w:hint="eastAsia"/>
                <w:b/>
                <w:bCs/>
                <w:szCs w:val="21"/>
              </w:rPr>
              <w:t>3.上述医疗费用指符合基本医疗保险有关规定的费用，参保人员符合基本医疗保险范围的住院和特殊病种门诊医疗费用2023年度统筹基金医保合规费用最高额度为20万元。</w:t>
            </w:r>
          </w:p>
          <w:p>
            <w:pPr>
              <w:ind w:firstLine="421" w:firstLineChars="200"/>
              <w:rPr>
                <w:rFonts w:hint="eastAsia"/>
                <w:b/>
                <w:bCs/>
                <w:szCs w:val="21"/>
              </w:rPr>
            </w:pPr>
            <w:r>
              <w:rPr>
                <w:rFonts w:hint="eastAsia"/>
                <w:b/>
                <w:bCs/>
                <w:szCs w:val="21"/>
              </w:rPr>
              <w:t>4.</w:t>
            </w:r>
            <w:r>
              <w:rPr>
                <w:rFonts w:hint="eastAsia"/>
                <w:b/>
                <w:bCs/>
                <w:szCs w:val="21"/>
                <w:lang w:eastAsia="zh-CN"/>
              </w:rPr>
              <w:t>已办理转诊手续，</w:t>
            </w:r>
            <w:r>
              <w:rPr>
                <w:rFonts w:hint="eastAsia"/>
                <w:b/>
                <w:bCs/>
                <w:szCs w:val="21"/>
              </w:rPr>
              <w:t>市外住院（包括特殊病门诊）就医的自理比例为10%；未办理转诊手续，自行到温州市外定点医疗机构（省内“一卡通”医疗机构除外）就医的，自理比例为20%。</w:t>
            </w:r>
          </w:p>
          <w:p>
            <w:pPr>
              <w:ind w:firstLine="421" w:firstLineChars="200"/>
              <w:rPr>
                <w:rFonts w:hint="eastAsia"/>
                <w:b/>
                <w:bCs/>
                <w:szCs w:val="21"/>
              </w:rPr>
            </w:pPr>
            <w:r>
              <w:rPr>
                <w:rFonts w:hint="eastAsia"/>
                <w:b/>
                <w:bCs/>
                <w:szCs w:val="21"/>
              </w:rPr>
              <w:t>5.医疗救助人员大病保险起付标准为12850元,报销比例为80%，不设封顶线。</w:t>
            </w:r>
          </w:p>
          <w:p>
            <w:pPr>
              <w:ind w:firstLine="421" w:firstLineChars="200"/>
              <w:rPr>
                <w:rFonts w:hint="eastAsia" w:ascii="宋体" w:hAnsi="宋体" w:eastAsia="宋体" w:cs="宋体"/>
                <w:b/>
                <w:bCs/>
                <w:szCs w:val="21"/>
                <w:lang w:val="en" w:eastAsia="zh-CN"/>
              </w:rPr>
            </w:pPr>
            <w:r>
              <w:rPr>
                <w:rFonts w:hint="eastAsia"/>
                <w:b/>
                <w:bCs/>
                <w:szCs w:val="21"/>
              </w:rPr>
              <w:t>6.本表自2023年1月1日起开始执行</w:t>
            </w:r>
            <w:r>
              <w:rPr>
                <w:rFonts w:hint="eastAsia"/>
                <w:b/>
                <w:bCs/>
                <w:szCs w:val="21"/>
                <w:lang w:eastAsia="zh-CN"/>
              </w:rPr>
              <w:t>，并根据医保</w:t>
            </w:r>
            <w:bookmarkStart w:id="0" w:name="_GoBack"/>
            <w:bookmarkEnd w:id="0"/>
            <w:r>
              <w:rPr>
                <w:rFonts w:hint="eastAsia"/>
                <w:b/>
                <w:bCs/>
                <w:szCs w:val="21"/>
                <w:lang w:eastAsia="zh-CN"/>
              </w:rPr>
              <w:t>政策调整适时更新。</w:t>
            </w:r>
          </w:p>
        </w:tc>
        <w:tc>
          <w:tcPr>
            <w:tcW w:w="6142" w:type="dxa"/>
            <w:gridSpan w:val="3"/>
            <w:tcBorders>
              <w:top w:val="single" w:color="000000" w:sz="4" w:space="0"/>
              <w:left w:val="single" w:color="000000" w:sz="6" w:space="0"/>
              <w:bottom w:val="single" w:color="000000" w:sz="6" w:space="0"/>
              <w:right w:val="single" w:color="000000" w:sz="6" w:space="0"/>
            </w:tcBorders>
            <w:vAlign w:val="center"/>
          </w:tcPr>
          <w:p>
            <w:pPr>
              <w:rPr>
                <w:rFonts w:ascii="宋体" w:hAnsi="宋体" w:cs="宋体"/>
                <w:b/>
                <w:bCs/>
                <w:color w:val="auto"/>
                <w:szCs w:val="21"/>
              </w:rPr>
            </w:pPr>
            <w:r>
              <w:rPr>
                <w:rFonts w:hint="eastAsia"/>
                <w:b/>
                <w:bCs/>
                <w:color w:val="auto"/>
                <w:szCs w:val="21"/>
              </w:rPr>
              <w:t>注：</w:t>
            </w:r>
          </w:p>
          <w:p>
            <w:pPr>
              <w:ind w:left="422" w:hanging="421" w:hangingChars="200"/>
              <w:rPr>
                <w:rFonts w:hint="eastAsia" w:ascii="宋体" w:hAnsi="宋体" w:cs="宋体"/>
                <w:b/>
                <w:bCs/>
                <w:color w:val="auto"/>
                <w:szCs w:val="21"/>
              </w:rPr>
            </w:pPr>
            <w:r>
              <w:rPr>
                <w:rFonts w:hint="eastAsia" w:ascii="宋体" w:hAnsi="宋体" w:cs="宋体"/>
                <w:b/>
                <w:bCs/>
                <w:color w:val="auto"/>
                <w:szCs w:val="21"/>
              </w:rPr>
              <w:t xml:space="preserve">1.城乡居民门诊不建个人帐户，参保人起付段支付金额全年累计，起付段计付定额按其各次门诊就医医院级别最高的一次起付标准来确定。 </w:t>
            </w:r>
          </w:p>
          <w:p>
            <w:pPr>
              <w:ind w:left="422" w:hanging="421" w:hangingChars="200"/>
              <w:rPr>
                <w:rFonts w:hint="eastAsia" w:ascii="宋体" w:hAnsi="宋体" w:cs="宋体"/>
                <w:b/>
                <w:bCs/>
                <w:color w:val="auto"/>
                <w:szCs w:val="21"/>
              </w:rPr>
            </w:pPr>
            <w:r>
              <w:rPr>
                <w:rFonts w:hint="eastAsia" w:ascii="宋体" w:hAnsi="宋体" w:cs="宋体"/>
                <w:b/>
                <w:bCs/>
                <w:color w:val="auto"/>
                <w:szCs w:val="21"/>
              </w:rPr>
              <w:t>2.城乡居民医保参保人员转诊或临时外出至温州市外就医发生的门诊医疗费用，城乡居民医保基金不予支付。</w:t>
            </w:r>
          </w:p>
          <w:p>
            <w:pPr>
              <w:ind w:left="422" w:hanging="421" w:hangingChars="200"/>
              <w:rPr>
                <w:rFonts w:ascii="宋体" w:hAnsi="宋体" w:cs="宋体"/>
                <w:b/>
                <w:bCs/>
                <w:szCs w:val="21"/>
              </w:rPr>
            </w:pPr>
            <w:r>
              <w:rPr>
                <w:rFonts w:hint="eastAsia" w:ascii="宋体" w:hAnsi="宋体" w:cs="宋体"/>
                <w:b/>
                <w:bCs/>
                <w:color w:val="auto"/>
                <w:szCs w:val="21"/>
              </w:rPr>
              <w:t>3.表中所指医疗机构和零售药店是指纳入医保定点医疗机构协议管理的单位。</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09C404"/>
    <w:multiLevelType w:val="singleLevel"/>
    <w:tmpl w:val="5309C40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55354"/>
    <w:rsid w:val="00427112"/>
    <w:rsid w:val="00494A6A"/>
    <w:rsid w:val="00FB5874"/>
    <w:rsid w:val="00FD61FC"/>
    <w:rsid w:val="091066B6"/>
    <w:rsid w:val="110A5A05"/>
    <w:rsid w:val="17755354"/>
    <w:rsid w:val="1D767A21"/>
    <w:rsid w:val="22645F46"/>
    <w:rsid w:val="2BF45856"/>
    <w:rsid w:val="377F677D"/>
    <w:rsid w:val="4BBEB840"/>
    <w:rsid w:val="4F7CDE5F"/>
    <w:rsid w:val="511E585C"/>
    <w:rsid w:val="57BF4196"/>
    <w:rsid w:val="59763E0D"/>
    <w:rsid w:val="59FF00C0"/>
    <w:rsid w:val="5BBB75B9"/>
    <w:rsid w:val="73E9D501"/>
    <w:rsid w:val="75B2418B"/>
    <w:rsid w:val="775F9D08"/>
    <w:rsid w:val="779FE3AF"/>
    <w:rsid w:val="77EA1B4B"/>
    <w:rsid w:val="77FAE82D"/>
    <w:rsid w:val="78D65C50"/>
    <w:rsid w:val="7CEF4590"/>
    <w:rsid w:val="7F1E8FEC"/>
    <w:rsid w:val="7F7713D7"/>
    <w:rsid w:val="7FD77388"/>
    <w:rsid w:val="ABBD0965"/>
    <w:rsid w:val="D287E773"/>
    <w:rsid w:val="DEBD2D22"/>
    <w:rsid w:val="EFFFBB95"/>
    <w:rsid w:val="F9BF1907"/>
    <w:rsid w:val="FE7F886D"/>
    <w:rsid w:val="FF97D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173</Words>
  <Characters>991</Characters>
  <Lines>8</Lines>
  <Paragraphs>2</Paragraphs>
  <TotalTime>0</TotalTime>
  <ScaleCrop>false</ScaleCrop>
  <LinksUpToDate>false</LinksUpToDate>
  <CharactersWithSpaces>1162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2022-03-06T18:47:00Z</dcterms:created>
  <dc:creator>莫颜</dc:creator>
  <cp:lastModifiedBy>greatwall</cp:lastModifiedBy>
  <dcterms:modified xsi:type="dcterms:W3CDTF">2023-02-07T09:50:30Z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9AE9B383A16B4F0A98FAE5F5E6DCE47A</vt:lpwstr>
  </property>
</Properties>
</file>