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b/>
          <w:szCs w:val="24"/>
        </w:rPr>
      </w:pPr>
      <w:r>
        <w:rPr>
          <w:rFonts w:hint="eastAsia" w:hAnsi="宋体"/>
          <w:b/>
          <w:color w:val="000000"/>
          <w:szCs w:val="24"/>
        </w:rPr>
        <w:t>临床</w:t>
      </w:r>
      <w:r>
        <w:rPr>
          <w:rFonts w:hAnsi="宋体"/>
          <w:b/>
          <w:color w:val="000000"/>
          <w:szCs w:val="24"/>
        </w:rPr>
        <w:t>试验</w:t>
      </w:r>
      <w:r>
        <w:rPr>
          <w:rFonts w:hint="eastAsia" w:hAnsi="宋体"/>
          <w:b/>
          <w:color w:val="000000"/>
          <w:szCs w:val="24"/>
        </w:rPr>
        <w:t>项目</w:t>
      </w:r>
      <w:r>
        <w:rPr>
          <w:rFonts w:hAnsi="宋体"/>
          <w:b/>
          <w:color w:val="000000"/>
          <w:szCs w:val="24"/>
        </w:rPr>
        <w:t>承接评估表</w:t>
      </w:r>
      <w:r>
        <w:rPr>
          <w:rFonts w:hint="eastAsia" w:hAnsi="宋体"/>
          <w:b/>
          <w:color w:val="000000"/>
          <w:szCs w:val="24"/>
        </w:rPr>
        <w:t>（专业科室）</w:t>
      </w:r>
    </w:p>
    <w:p>
      <w:pPr>
        <w:spacing w:after="163" w:afterLines="50" w:line="240" w:lineRule="auto"/>
        <w:ind w:firstLine="0" w:firstLineChars="0"/>
        <w:jc w:val="center"/>
        <w:rPr>
          <w:b/>
          <w:color w:val="000000"/>
          <w:sz w:val="28"/>
          <w:szCs w:val="21"/>
        </w:rPr>
      </w:pP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受理编号：</w:t>
      </w:r>
      <w:bookmarkStart w:id="0" w:name="书签1项目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   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通用名：</w:t>
      </w:r>
      <w:bookmarkStart w:id="1" w:name="书签2通用名"/>
      <w:bookmarkEnd w:id="1"/>
      <w:r>
        <w:rPr>
          <w:rFonts w:hint="eastAsia"/>
          <w:sz w:val="21"/>
          <w:szCs w:val="21"/>
          <w:u w:val="single"/>
        </w:rPr>
        <w:t xml:space="preserve">                                                           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临床试验批件号：</w:t>
      </w:r>
      <w:bookmarkStart w:id="2" w:name="书签3批件号"/>
      <w:bookmarkEnd w:id="2"/>
      <w:r>
        <w:rPr>
          <w:rFonts w:hint="eastAsia"/>
          <w:sz w:val="21"/>
          <w:szCs w:val="21"/>
          <w:u w:val="single"/>
        </w:rPr>
        <w:t xml:space="preserve">                                                   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项目名称：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    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申办者：</w:t>
      </w:r>
      <w:bookmarkStart w:id="3" w:name="书签4合作单位"/>
      <w:bookmarkEnd w:id="3"/>
      <w:r>
        <w:rPr>
          <w:rFonts w:hint="eastAsia"/>
          <w:sz w:val="21"/>
          <w:szCs w:val="21"/>
          <w:u w:val="single"/>
        </w:rPr>
        <w:t xml:space="preserve">                                                           </w:t>
      </w:r>
    </w:p>
    <w:p>
      <w:pPr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专业科室：</w:t>
      </w:r>
      <w:bookmarkStart w:id="4" w:name="书签5专业科室"/>
      <w:bookmarkEnd w:id="4"/>
      <w:r>
        <w:rPr>
          <w:rFonts w:hint="eastAsia"/>
          <w:sz w:val="21"/>
          <w:szCs w:val="21"/>
          <w:u w:val="single"/>
        </w:rPr>
        <w:t xml:space="preserve">                                                         </w:t>
      </w:r>
    </w:p>
    <w:tbl>
      <w:tblPr>
        <w:tblStyle w:val="15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831"/>
        <w:gridCol w:w="2203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5" w:type="dxa"/>
            <w:shd w:val="clear" w:color="auto" w:fill="D0CECE"/>
            <w:vAlign w:val="center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5831" w:type="dxa"/>
            <w:shd w:val="clear" w:color="auto" w:fill="D0CECE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评估项目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评估选项</w:t>
            </w:r>
          </w:p>
        </w:tc>
        <w:tc>
          <w:tcPr>
            <w:tcW w:w="1351" w:type="dxa"/>
            <w:tcBorders>
              <w:left w:val="single" w:color="000000" w:sz="2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center"/>
              <w:rPr>
                <w:sz w:val="21"/>
                <w:szCs w:val="21"/>
              </w:rPr>
            </w:pPr>
            <w:bookmarkStart w:id="5" w:name="书签6资料"/>
            <w:bookmarkEnd w:id="5"/>
            <w:r>
              <w:rPr>
                <w:sz w:val="21"/>
                <w:szCs w:val="21"/>
              </w:rPr>
              <w:t>1</w:t>
            </w:r>
          </w:p>
        </w:tc>
        <w:tc>
          <w:tcPr>
            <w:tcW w:w="583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根据方案判断受试者的受益与风险。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□否 □不适用</w:t>
            </w:r>
          </w:p>
        </w:tc>
        <w:tc>
          <w:tcPr>
            <w:tcW w:w="1351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83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试验项目在本院实施的可行性。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□否 □不适用</w:t>
            </w:r>
          </w:p>
        </w:tc>
        <w:tc>
          <w:tcPr>
            <w:tcW w:w="1351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83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能否保证招募到足够的受试者。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□否 □不适用</w:t>
            </w:r>
          </w:p>
        </w:tc>
        <w:tc>
          <w:tcPr>
            <w:tcW w:w="1351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83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设施与条件是否能保证安全、有效地进行临床试验。</w:t>
            </w:r>
          </w:p>
        </w:tc>
        <w:tc>
          <w:tcPr>
            <w:tcW w:w="2203" w:type="dxa"/>
            <w:tcBorders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□否 □不适用</w:t>
            </w:r>
          </w:p>
        </w:tc>
        <w:tc>
          <w:tcPr>
            <w:tcW w:w="1351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ind w:left="181" w:hanging="180" w:hangingChars="86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1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left="1912" w:hanging="1912" w:hangingChars="907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评估者承诺</w:t>
            </w:r>
          </w:p>
          <w:p>
            <w:pPr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遵守临床试验质量管理规范等相关法律法规，执行利益冲突回避和保密制度，按机构及专业管理制度和标准操作规程认真履行职责。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left="1905" w:hanging="1904" w:hangingChars="90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专业评估意见或建议</w:t>
            </w:r>
          </w:p>
          <w:p>
            <w:pPr>
              <w:pStyle w:val="2"/>
              <w:ind w:firstLine="42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1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905" w:hanging="1904" w:hangingChars="90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专业评估结论</w:t>
            </w:r>
          </w:p>
          <w:p>
            <w:pPr>
              <w:ind w:firstLine="1169" w:firstLineChars="55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□同意   </w:t>
            </w:r>
            <w:r>
              <w:rPr>
                <w:rFonts w:ascii="宋体" w:hAnsi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□修改后同意 </w:t>
            </w:r>
            <w:r>
              <w:rPr>
                <w:rFonts w:ascii="宋体" w:hAnsi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□修改后再评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□不同意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17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20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right="840" w:firstLine="5040" w:firstLineChars="2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主要研究者（签名）：</w:t>
            </w:r>
          </w:p>
          <w:p>
            <w:pPr>
              <w:ind w:right="630" w:firstLine="1579" w:firstLineChars="75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日期：   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年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</w:tbl>
    <w:p>
      <w:pPr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1" w:right="851" w:bottom="851" w:left="1134" w:header="851" w:footer="851" w:gutter="0"/>
          <w:cols w:space="425" w:num="1"/>
          <w:docGrid w:type="lines" w:linePitch="326" w:charSpace="0"/>
        </w:sectPr>
      </w:pPr>
    </w:p>
    <w:p>
      <w:pPr>
        <w:spacing w:line="360" w:lineRule="auto"/>
        <w:jc w:val="center"/>
        <w:rPr>
          <w:rFonts w:hAnsi="宋体"/>
          <w:b/>
          <w:color w:val="000000"/>
          <w:sz w:val="16"/>
          <w:szCs w:val="16"/>
        </w:rPr>
      </w:pPr>
      <w:r>
        <w:rPr>
          <w:rFonts w:hint="eastAsia" w:hAnsi="宋体"/>
          <w:b/>
          <w:color w:val="000000"/>
          <w:sz w:val="28"/>
          <w:szCs w:val="28"/>
          <w:lang w:eastAsia="zh-CN"/>
        </w:rPr>
        <w:t>医疗器械</w:t>
      </w:r>
      <w:r>
        <w:rPr>
          <w:rFonts w:hint="eastAsia" w:hAnsi="宋体"/>
          <w:b/>
          <w:color w:val="000000"/>
          <w:sz w:val="28"/>
          <w:szCs w:val="28"/>
          <w:lang w:val="en-US" w:eastAsia="zh-CN"/>
        </w:rPr>
        <w:t>/体外诊断试剂</w:t>
      </w:r>
      <w:r>
        <w:rPr>
          <w:rFonts w:hint="eastAsia" w:hAnsi="宋体"/>
          <w:b/>
          <w:color w:val="000000"/>
          <w:sz w:val="28"/>
          <w:szCs w:val="28"/>
        </w:rPr>
        <w:t>临床</w:t>
      </w:r>
      <w:r>
        <w:rPr>
          <w:rFonts w:hAnsi="宋体"/>
          <w:b/>
          <w:color w:val="000000"/>
          <w:sz w:val="28"/>
          <w:szCs w:val="28"/>
        </w:rPr>
        <w:t>试验</w:t>
      </w:r>
      <w:r>
        <w:rPr>
          <w:rFonts w:hint="eastAsia" w:hAnsi="宋体"/>
          <w:b/>
          <w:color w:val="000000"/>
          <w:sz w:val="28"/>
          <w:szCs w:val="28"/>
        </w:rPr>
        <w:t>项目</w:t>
      </w:r>
      <w:r>
        <w:rPr>
          <w:rFonts w:hAnsi="宋体"/>
          <w:b/>
          <w:color w:val="000000"/>
          <w:sz w:val="28"/>
          <w:szCs w:val="28"/>
        </w:rPr>
        <w:t>承接评估表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申办者：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专业科室：</w:t>
      </w:r>
      <w:r>
        <w:rPr>
          <w:rFonts w:hint="eastAsia"/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>主要研究者：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</w:p>
    <w:tbl>
      <w:tblPr>
        <w:tblStyle w:val="15"/>
        <w:tblW w:w="10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847"/>
        <w:gridCol w:w="2481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评估项目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选项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hanging="206" w:hangingChars="8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试验方案中</w:t>
            </w:r>
            <w:r>
              <w:rPr>
                <w:rFonts w:eastAsia="宋体"/>
                <w:sz w:val="24"/>
                <w:szCs w:val="24"/>
              </w:rPr>
              <w:t>受试者的受益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是否大于</w:t>
            </w:r>
            <w:r>
              <w:rPr>
                <w:rFonts w:eastAsia="宋体"/>
                <w:sz w:val="24"/>
                <w:szCs w:val="24"/>
              </w:rPr>
              <w:t>风险。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hanging="206" w:hangingChars="8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试验项目在本院实施的可行性。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hanging="206" w:hangingChars="8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能否保证招募到足够的受试者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hanging="206" w:hangingChars="8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设施与条件是否能保证安全、有效地进行临床试验。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27" w:type="dxa"/>
            <w:gridSpan w:val="4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专业评估意见或建议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/>
              </w:rPr>
            </w:pP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主要研究者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（签名）：</w:t>
            </w:r>
          </w:p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847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评估项目</w:t>
            </w:r>
          </w:p>
        </w:tc>
        <w:tc>
          <w:tcPr>
            <w:tcW w:w="248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选项</w:t>
            </w:r>
          </w:p>
        </w:tc>
        <w:tc>
          <w:tcPr>
            <w:tcW w:w="2046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专业组是否已承担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功能类似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eastAsia="宋体"/>
                <w:sz w:val="24"/>
                <w:szCs w:val="24"/>
              </w:rPr>
              <w:t>相同的试验。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主要研究者是否有足够的时间与精力承接和管理新项目。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研究者团队是否有足够的时间承接新项目。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leftChars="0" w:hanging="206" w:hangingChars="8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既往或在研项目完成质量不佳，处于院内整改期的专业暂停承接新项目。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240" w:lineRule="auto"/>
              <w:ind w:left="206" w:hanging="206" w:hangingChars="86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既往合作中，申办者对临床试验过程质量保证的能力。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□否 □不适用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27" w:type="dxa"/>
            <w:gridSpan w:val="4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机构办审核意见或建议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机构办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（签名）：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080" w:bottom="1440" w:left="108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>
            <w:pPr>
              <w:pStyle w:val="9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PAGE  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页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SECTIONPAGES  \* Arabic  \* MERGEFORMAT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页</w:t>
            </w:r>
          </w:p>
          <w:p>
            <w:pPr>
              <w:pStyle w:val="9"/>
              <w:ind w:firstLine="0" w:firstLineChars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  <w:docPartObj>
        <w:docPartGallery w:val="autotext"/>
      </w:docPartObj>
    </w:sdtPr>
    <w:sdtEndPr>
      <w:rPr>
        <w:color w:val="7F7F7F" w:themeColor="background1" w:themeShade="80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color w:val="7F7F7F" w:themeColor="background1" w:themeShade="80"/>
          </w:rPr>
        </w:sdtEndPr>
        <w:sdtContent>
          <w:p>
            <w:pPr>
              <w:pStyle w:val="9"/>
              <w:ind w:firstLine="360"/>
              <w:jc w:val="center"/>
              <w:rPr>
                <w:color w:val="7F7F7F" w:themeColor="background1" w:themeShade="80"/>
              </w:rPr>
            </w:pPr>
            <w:r>
              <w:rPr>
                <w:rFonts w:hint="eastAsia" w:cs="Times New Roman"/>
                <w:color w:val="7F7F7F" w:themeColor="background1" w:themeShade="80"/>
                <w:sz w:val="24"/>
              </w:rPr>
              <w:t>第</w:t>
            </w:r>
            <w:r>
              <w:rPr>
                <w:rFonts w:cs="Times New Roman"/>
                <w:color w:val="7F7F7F" w:themeColor="background1" w:themeShade="80"/>
                <w:sz w:val="24"/>
              </w:rPr>
              <w:t xml:space="preserve"> </w:t>
            </w:r>
            <w:r>
              <w:rPr>
                <w:rFonts w:cs="Times New Roman"/>
                <w:color w:val="7F7F7F" w:themeColor="background1" w:themeShade="80"/>
                <w:sz w:val="24"/>
              </w:rPr>
              <w:fldChar w:fldCharType="begin"/>
            </w:r>
            <w:r>
              <w:rPr>
                <w:rFonts w:cs="Times New Roman"/>
                <w:color w:val="7F7F7F" w:themeColor="background1" w:themeShade="80"/>
                <w:sz w:val="24"/>
              </w:rPr>
              <w:instrText xml:space="preserve"> PAGE   \* MERGEFORMAT </w:instrText>
            </w:r>
            <w:r>
              <w:rPr>
                <w:rFonts w:cs="Times New Roman"/>
                <w:color w:val="7F7F7F" w:themeColor="background1" w:themeShade="80"/>
                <w:sz w:val="24"/>
              </w:rPr>
              <w:fldChar w:fldCharType="separate"/>
            </w:r>
            <w:r>
              <w:rPr>
                <w:rFonts w:cs="Times New Roman"/>
                <w:color w:val="7F7F7F" w:themeColor="background1" w:themeShade="80"/>
                <w:sz w:val="24"/>
              </w:rPr>
              <w:t>1</w:t>
            </w:r>
            <w:r>
              <w:rPr>
                <w:rFonts w:cs="Times New Roman"/>
                <w:color w:val="7F7F7F" w:themeColor="background1" w:themeShade="80"/>
                <w:sz w:val="24"/>
              </w:rPr>
              <w:fldChar w:fldCharType="end"/>
            </w:r>
            <w:bookmarkStart w:id="6" w:name="_GoBack"/>
            <w:bookmarkEnd w:id="6"/>
            <w:r>
              <w:rPr>
                <w:rFonts w:cs="Times New Roman"/>
                <w:color w:val="7F7F7F" w:themeColor="background1" w:themeShade="80"/>
                <w:sz w:val="24"/>
              </w:rPr>
              <w:t xml:space="preserve"> </w:t>
            </w:r>
            <w:r>
              <w:rPr>
                <w:rFonts w:hint="eastAsia" w:cs="Times New Roman"/>
                <w:color w:val="7F7F7F" w:themeColor="background1" w:themeShade="80"/>
                <w:sz w:val="24"/>
              </w:rPr>
              <w:t>页</w:t>
            </w:r>
            <w:r>
              <w:rPr>
                <w:rFonts w:cs="Times New Roman"/>
                <w:color w:val="7F7F7F" w:themeColor="background1" w:themeShade="80"/>
                <w:sz w:val="24"/>
              </w:rPr>
              <w:t xml:space="preserve">  </w:t>
            </w:r>
            <w:r>
              <w:rPr>
                <w:rFonts w:hint="eastAsia" w:cs="Times New Roman"/>
                <w:color w:val="7F7F7F" w:themeColor="background1" w:themeShade="80"/>
                <w:sz w:val="24"/>
              </w:rPr>
              <w:t>共</w:t>
            </w:r>
            <w:r>
              <w:rPr>
                <w:rFonts w:cs="Times New Roman"/>
                <w:color w:val="7F7F7F" w:themeColor="background1" w:themeShade="80"/>
                <w:sz w:val="24"/>
              </w:rPr>
              <w:t xml:space="preserve"> </w:t>
            </w:r>
            <w:r>
              <w:rPr>
                <w:rFonts w:cs="Times New Roman"/>
                <w:color w:val="7F7F7F" w:themeColor="background1" w:themeShade="80"/>
                <w:sz w:val="24"/>
              </w:rPr>
              <w:fldChar w:fldCharType="begin"/>
            </w:r>
            <w:r>
              <w:rPr>
                <w:rFonts w:cs="Times New Roman"/>
                <w:color w:val="7F7F7F" w:themeColor="background1" w:themeShade="80"/>
                <w:sz w:val="24"/>
              </w:rPr>
              <w:instrText xml:space="preserve"> SECTIONPAGES  \* Arabic  \* MERGEFORMAT </w:instrText>
            </w:r>
            <w:r>
              <w:rPr>
                <w:rFonts w:cs="Times New Roman"/>
                <w:color w:val="7F7F7F" w:themeColor="background1" w:themeShade="80"/>
                <w:sz w:val="24"/>
              </w:rPr>
              <w:fldChar w:fldCharType="separate"/>
            </w:r>
            <w:r>
              <w:rPr>
                <w:rFonts w:cs="Times New Roman"/>
                <w:color w:val="7F7F7F" w:themeColor="background1" w:themeShade="80"/>
                <w:sz w:val="24"/>
              </w:rPr>
              <w:t>1</w:t>
            </w:r>
            <w:r>
              <w:rPr>
                <w:rFonts w:cs="Times New Roman"/>
                <w:color w:val="7F7F7F" w:themeColor="background1" w:themeShade="80"/>
                <w:sz w:val="24"/>
              </w:rPr>
              <w:fldChar w:fldCharType="end"/>
            </w:r>
            <w:r>
              <w:rPr>
                <w:rFonts w:cs="Times New Roman"/>
                <w:color w:val="7F7F7F" w:themeColor="background1" w:themeShade="80"/>
                <w:sz w:val="24"/>
              </w:rPr>
              <w:t xml:space="preserve"> </w:t>
            </w:r>
            <w:r>
              <w:rPr>
                <w:rFonts w:hint="eastAsia" w:cs="Times New Roman"/>
                <w:color w:val="7F7F7F" w:themeColor="background1" w:themeShade="80"/>
                <w:sz w:val="24"/>
              </w:rPr>
              <w:t>页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tabs>
        <w:tab w:val="right" w:pos="9746"/>
        <w:tab w:val="clear" w:pos="4153"/>
      </w:tabs>
      <w:spacing w:after="240" w:afterLines="100"/>
      <w:ind w:firstLine="0" w:firstLineChars="0"/>
      <w:jc w:val="both"/>
      <w:rPr>
        <w:rFonts w:ascii="宋体" w:hAnsi="宋体" w:cs="宋体"/>
        <w:sz w:val="24"/>
        <w:szCs w:val="24"/>
      </w:rPr>
    </w:pPr>
    <w:r>
      <w:rPr>
        <w:rFonts w:hint="eastAsia" w:ascii="宋体" w:hAnsi="宋体" w:cs="宋体"/>
        <w:sz w:val="24"/>
        <w:szCs w:val="24"/>
      </w:rPr>
      <w:t xml:space="preserve">苍南县人民医院药物临床试验机构 </w:t>
    </w:r>
    <w:r>
      <w:rPr>
        <w:rFonts w:ascii="宋体" w:hAnsi="宋体" w:cs="宋体"/>
        <w:sz w:val="24"/>
        <w:szCs w:val="24"/>
      </w:rPr>
      <w:t xml:space="preserve">                              </w:t>
    </w:r>
    <w:r>
      <w:rPr>
        <w:sz w:val="24"/>
        <w:szCs w:val="24"/>
      </w:rPr>
      <w:t>CYJG-SOP-004-002-1.0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spacing w:after="326" w:afterLines="100" w:line="240" w:lineRule="auto"/>
      <w:ind w:firstLine="0" w:firstLineChars="0"/>
      <w:jc w:val="both"/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  <w:lang w:val="en-US" w:eastAsia="zh-CN"/>
      </w:rPr>
    </w:pPr>
    <w:r>
      <w:rPr>
        <w:rFonts w:hint="eastAsia" w:ascii="宋体" w:hAnsi="宋体" w:eastAsia="宋体" w:cs="Times New Roman"/>
        <w:color w:val="7F7F7F" w:themeColor="background1" w:themeShade="80"/>
        <w:sz w:val="24"/>
        <w:szCs w:val="24"/>
        <w:lang w:eastAsia="zh-CN"/>
      </w:rPr>
      <w:t>苍南县人民医院</w:t>
    </w:r>
    <w:r>
      <w:rPr>
        <w:rFonts w:hint="eastAsia"/>
        <w:color w:val="7F7F7F" w:themeColor="background1" w:themeShade="80"/>
        <w:sz w:val="24"/>
        <w:szCs w:val="24"/>
        <w:lang w:eastAsia="zh-CN"/>
      </w:rPr>
      <w:t>医疗器械</w:t>
    </w:r>
    <w:r>
      <w:rPr>
        <w:color w:val="7F7F7F" w:themeColor="background1" w:themeShade="80"/>
        <w:sz w:val="24"/>
        <w:szCs w:val="24"/>
      </w:rPr>
      <w:t xml:space="preserve">临床试验机构               </w:t>
    </w:r>
    <w:r>
      <w:rPr>
        <w:rFonts w:hint="eastAsia"/>
        <w:color w:val="7F7F7F" w:themeColor="background1" w:themeShade="80"/>
        <w:sz w:val="24"/>
        <w:szCs w:val="24"/>
        <w:lang w:val="en-US" w:eastAsia="zh-CN"/>
      </w:rPr>
      <w:t xml:space="preserve">        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CY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JG-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  <w:lang w:val="en-US" w:eastAsia="zh-CN"/>
      </w:rPr>
      <w:t>QX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-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SOP-0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0</w:t>
    </w:r>
    <w:r>
      <w:rPr>
        <w:rFonts w:hint="eastAsia" w:cs="Times New Roman"/>
        <w:color w:val="7F7F7F" w:themeColor="background1" w:themeShade="80"/>
        <w:sz w:val="24"/>
        <w:szCs w:val="24"/>
        <w:lang w:val="en-US" w:eastAsia="zh-CN"/>
      </w:rPr>
      <w:t>3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-00</w:t>
    </w:r>
    <w:r>
      <w:rPr>
        <w:rFonts w:hint="default" w:ascii="Times New Roman" w:hAnsi="Times New Roman" w:cs="Times New Roman"/>
        <w:color w:val="7F7F7F" w:themeColor="background1" w:themeShade="80"/>
        <w:sz w:val="24"/>
        <w:szCs w:val="24"/>
        <w:lang w:val="en-US" w:eastAsia="zh-CN"/>
      </w:rPr>
      <w:t>1</w:t>
    </w:r>
    <w:r>
      <w:rPr>
        <w:rFonts w:hint="default" w:ascii="Times New Roman" w:hAnsi="Times New Roman" w:eastAsia="宋体" w:cs="Times New Roman"/>
        <w:color w:val="7F7F7F" w:themeColor="background1" w:themeShade="80"/>
        <w:sz w:val="24"/>
        <w:szCs w:val="24"/>
      </w:rPr>
      <w:t>-1.0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5MzhlMWE3NjYzNzdhYjkxZWI5OGVhNzU2OTNjYmEifQ=="/>
  </w:docVars>
  <w:rsids>
    <w:rsidRoot w:val="001C67D1"/>
    <w:rsid w:val="00000721"/>
    <w:rsid w:val="00003A39"/>
    <w:rsid w:val="0001504F"/>
    <w:rsid w:val="00031C8F"/>
    <w:rsid w:val="000641F0"/>
    <w:rsid w:val="0007450A"/>
    <w:rsid w:val="0008681A"/>
    <w:rsid w:val="00087B4B"/>
    <w:rsid w:val="000A37B0"/>
    <w:rsid w:val="000B2D8C"/>
    <w:rsid w:val="000B6105"/>
    <w:rsid w:val="000B6D7E"/>
    <w:rsid w:val="000D7571"/>
    <w:rsid w:val="000E605D"/>
    <w:rsid w:val="00117F22"/>
    <w:rsid w:val="00165A95"/>
    <w:rsid w:val="00180EE9"/>
    <w:rsid w:val="0018714F"/>
    <w:rsid w:val="00195EB1"/>
    <w:rsid w:val="001A1D11"/>
    <w:rsid w:val="001C3956"/>
    <w:rsid w:val="001C67D1"/>
    <w:rsid w:val="0020362C"/>
    <w:rsid w:val="00213CA5"/>
    <w:rsid w:val="00237AD6"/>
    <w:rsid w:val="00244633"/>
    <w:rsid w:val="0027145E"/>
    <w:rsid w:val="002801EB"/>
    <w:rsid w:val="002C6038"/>
    <w:rsid w:val="00347E27"/>
    <w:rsid w:val="00362ADE"/>
    <w:rsid w:val="00377A19"/>
    <w:rsid w:val="00387786"/>
    <w:rsid w:val="003C0C7C"/>
    <w:rsid w:val="003C5AAA"/>
    <w:rsid w:val="003C6159"/>
    <w:rsid w:val="003F0779"/>
    <w:rsid w:val="003F2BB4"/>
    <w:rsid w:val="00402B72"/>
    <w:rsid w:val="00437C09"/>
    <w:rsid w:val="00437DC4"/>
    <w:rsid w:val="00474222"/>
    <w:rsid w:val="00493C98"/>
    <w:rsid w:val="00494510"/>
    <w:rsid w:val="004C5B6A"/>
    <w:rsid w:val="004F4300"/>
    <w:rsid w:val="00523A93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67AA8"/>
    <w:rsid w:val="00675763"/>
    <w:rsid w:val="00680EFB"/>
    <w:rsid w:val="00687E49"/>
    <w:rsid w:val="006A4396"/>
    <w:rsid w:val="006E12E4"/>
    <w:rsid w:val="006E1911"/>
    <w:rsid w:val="0072619F"/>
    <w:rsid w:val="00782E85"/>
    <w:rsid w:val="00787DF6"/>
    <w:rsid w:val="00791DD8"/>
    <w:rsid w:val="007A19FD"/>
    <w:rsid w:val="007D3D97"/>
    <w:rsid w:val="007E1B75"/>
    <w:rsid w:val="007E1DF5"/>
    <w:rsid w:val="007E507E"/>
    <w:rsid w:val="007F3337"/>
    <w:rsid w:val="00822741"/>
    <w:rsid w:val="008227A0"/>
    <w:rsid w:val="008311CD"/>
    <w:rsid w:val="00840A81"/>
    <w:rsid w:val="00847A53"/>
    <w:rsid w:val="0085669B"/>
    <w:rsid w:val="0085718D"/>
    <w:rsid w:val="008828CF"/>
    <w:rsid w:val="00884DC0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15ED7"/>
    <w:rsid w:val="0093042E"/>
    <w:rsid w:val="00942F62"/>
    <w:rsid w:val="00987B2A"/>
    <w:rsid w:val="00997F5F"/>
    <w:rsid w:val="009B5718"/>
    <w:rsid w:val="009B591D"/>
    <w:rsid w:val="009D0DEE"/>
    <w:rsid w:val="009D785A"/>
    <w:rsid w:val="009F1973"/>
    <w:rsid w:val="00A10020"/>
    <w:rsid w:val="00A41927"/>
    <w:rsid w:val="00A42AA4"/>
    <w:rsid w:val="00A62FE3"/>
    <w:rsid w:val="00A86092"/>
    <w:rsid w:val="00A93FA5"/>
    <w:rsid w:val="00A97257"/>
    <w:rsid w:val="00AA46D8"/>
    <w:rsid w:val="00AC1D58"/>
    <w:rsid w:val="00AD599C"/>
    <w:rsid w:val="00AE02D5"/>
    <w:rsid w:val="00AE1E7C"/>
    <w:rsid w:val="00AF6CD0"/>
    <w:rsid w:val="00AF7052"/>
    <w:rsid w:val="00B20AC7"/>
    <w:rsid w:val="00B24FE0"/>
    <w:rsid w:val="00B57319"/>
    <w:rsid w:val="00B73FE2"/>
    <w:rsid w:val="00B87A19"/>
    <w:rsid w:val="00B90990"/>
    <w:rsid w:val="00B960CD"/>
    <w:rsid w:val="00BA4199"/>
    <w:rsid w:val="00BC16BB"/>
    <w:rsid w:val="00BF3DB5"/>
    <w:rsid w:val="00C01052"/>
    <w:rsid w:val="00C04659"/>
    <w:rsid w:val="00C2047F"/>
    <w:rsid w:val="00C207C0"/>
    <w:rsid w:val="00C210F9"/>
    <w:rsid w:val="00C22180"/>
    <w:rsid w:val="00C34726"/>
    <w:rsid w:val="00C354B1"/>
    <w:rsid w:val="00C4564F"/>
    <w:rsid w:val="00C70E7B"/>
    <w:rsid w:val="00C82642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A1318"/>
    <w:rsid w:val="00DC4424"/>
    <w:rsid w:val="00DD10C9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C274F"/>
    <w:rsid w:val="00EE65F7"/>
    <w:rsid w:val="00F072A0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C22787B"/>
    <w:rsid w:val="0E7A236A"/>
    <w:rsid w:val="0EEB7DB4"/>
    <w:rsid w:val="0F8F0C66"/>
    <w:rsid w:val="120F4793"/>
    <w:rsid w:val="1352436C"/>
    <w:rsid w:val="13A11FF0"/>
    <w:rsid w:val="154F5444"/>
    <w:rsid w:val="15DF3D12"/>
    <w:rsid w:val="161662D2"/>
    <w:rsid w:val="17E8782C"/>
    <w:rsid w:val="181504D5"/>
    <w:rsid w:val="187851C4"/>
    <w:rsid w:val="19996D21"/>
    <w:rsid w:val="1A3D2A50"/>
    <w:rsid w:val="1AC95192"/>
    <w:rsid w:val="1D3E7CE6"/>
    <w:rsid w:val="20F06AEA"/>
    <w:rsid w:val="28C86641"/>
    <w:rsid w:val="294F501A"/>
    <w:rsid w:val="2A992557"/>
    <w:rsid w:val="2CD40BB0"/>
    <w:rsid w:val="2DF368A1"/>
    <w:rsid w:val="2ED164F6"/>
    <w:rsid w:val="30DD33E4"/>
    <w:rsid w:val="32435AE4"/>
    <w:rsid w:val="324F67D9"/>
    <w:rsid w:val="338A11BE"/>
    <w:rsid w:val="34C354BB"/>
    <w:rsid w:val="3C0D0FAB"/>
    <w:rsid w:val="3D83783F"/>
    <w:rsid w:val="434E3426"/>
    <w:rsid w:val="4452446F"/>
    <w:rsid w:val="44BC3472"/>
    <w:rsid w:val="4BBA15E3"/>
    <w:rsid w:val="4EC75208"/>
    <w:rsid w:val="4F826897"/>
    <w:rsid w:val="512F53F5"/>
    <w:rsid w:val="52373B97"/>
    <w:rsid w:val="524F158E"/>
    <w:rsid w:val="55547ABC"/>
    <w:rsid w:val="55723F00"/>
    <w:rsid w:val="563D289F"/>
    <w:rsid w:val="57315707"/>
    <w:rsid w:val="57C841ED"/>
    <w:rsid w:val="58FE6BDD"/>
    <w:rsid w:val="5916272F"/>
    <w:rsid w:val="5A2A7FEF"/>
    <w:rsid w:val="5A763942"/>
    <w:rsid w:val="5AC4123C"/>
    <w:rsid w:val="5CFE7CD7"/>
    <w:rsid w:val="5E122A91"/>
    <w:rsid w:val="61001A7B"/>
    <w:rsid w:val="6573076A"/>
    <w:rsid w:val="6AA63311"/>
    <w:rsid w:val="6BF87586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95B3AD3"/>
    <w:rsid w:val="7B8923CC"/>
    <w:rsid w:val="7BA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/>
    </w:pPr>
    <w:rPr>
      <w:rFonts w:ascii="宋体" w:hAnsi="宋体" w:cs="宋体"/>
      <w:sz w:val="28"/>
      <w:szCs w:val="28"/>
    </w:rPr>
  </w:style>
  <w:style w:type="paragraph" w:styleId="6">
    <w:name w:val="annotation text"/>
    <w:basedOn w:val="1"/>
    <w:link w:val="33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3">
    <w:name w:val="Title"/>
    <w:basedOn w:val="1"/>
    <w:next w:val="1"/>
    <w:link w:val="27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34"/>
    <w:semiHidden/>
    <w:unhideWhenUsed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bCs/>
      <w:sz w:val="24"/>
      <w:szCs w:val="20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3">
    <w:name w:val="标题 1 字符"/>
    <w:basedOn w:val="17"/>
    <w:link w:val="3"/>
    <w:qFormat/>
    <w:uiPriority w:val="9"/>
    <w:rPr>
      <w:b/>
      <w:bCs/>
      <w:kern w:val="44"/>
      <w:sz w:val="24"/>
      <w:szCs w:val="44"/>
    </w:rPr>
  </w:style>
  <w:style w:type="character" w:customStyle="1" w:styleId="24">
    <w:name w:val="批注框文本 字符"/>
    <w:basedOn w:val="17"/>
    <w:link w:val="8"/>
    <w:semiHidden/>
    <w:qFormat/>
    <w:uiPriority w:val="99"/>
    <w:rPr>
      <w:color w:val="auto"/>
      <w:sz w:val="18"/>
      <w:szCs w:val="18"/>
    </w:rPr>
  </w:style>
  <w:style w:type="character" w:customStyle="1" w:styleId="25">
    <w:name w:val="标题 2 字符"/>
    <w:basedOn w:val="17"/>
    <w:link w:val="4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7">
    <w:name w:val="标题 字符"/>
    <w:basedOn w:val="17"/>
    <w:link w:val="13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8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9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网格型3"/>
    <w:basedOn w:val="1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11"/>
    <w:basedOn w:val="1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33">
    <w:name w:val="批注文字 字符"/>
    <w:basedOn w:val="17"/>
    <w:link w:val="6"/>
    <w:semiHidden/>
    <w:qFormat/>
    <w:uiPriority w:val="99"/>
    <w:rPr>
      <w:kern w:val="2"/>
      <w:sz w:val="21"/>
      <w:szCs w:val="24"/>
      <w:lang w:eastAsia="zh-CN"/>
    </w:rPr>
  </w:style>
  <w:style w:type="character" w:customStyle="1" w:styleId="34">
    <w:name w:val="批注主题 字符"/>
    <w:basedOn w:val="33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8624F-947C-433C-A957-FCC1925A0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276</Words>
  <Characters>276</Characters>
  <Lines>5</Lines>
  <Paragraphs>1</Paragraphs>
  <TotalTime>1</TotalTime>
  <ScaleCrop>false</ScaleCrop>
  <LinksUpToDate>false</LinksUpToDate>
  <CharactersWithSpaces>664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liang</cp:lastModifiedBy>
  <cp:lastPrinted>2023-09-07T06:19:00Z</cp:lastPrinted>
  <dcterms:modified xsi:type="dcterms:W3CDTF">2025-07-22T00:39:35Z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BBCA046A22134391B18A542033773049</vt:lpwstr>
  </property>
  <property fmtid="{D5CDD505-2E9C-101B-9397-08002B2CF9AE}" pid="3" name="KSOProductBuildVer">
    <vt:lpwstr>2052-11.1.0.12165</vt:lpwstr>
  </property>
</Properties>
</file>